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8C7" w:rsidRPr="00653123" w:rsidRDefault="005358C7" w:rsidP="005358C7">
      <w:pPr>
        <w:pStyle w:val="a5"/>
        <w:numPr>
          <w:ilvl w:val="0"/>
          <w:numId w:val="2"/>
        </w:numPr>
        <w:ind w:firstLineChars="0" w:firstLine="0"/>
        <w:rPr>
          <w:rFonts w:ascii="微软雅黑" w:eastAsia="微软雅黑" w:hAnsi="微软雅黑" w:cstheme="minorBidi" w:hint="eastAsia"/>
          <w:color w:val="365F91" w:themeColor="accent1" w:themeShade="BF"/>
          <w:kern w:val="2"/>
          <w:sz w:val="21"/>
          <w:szCs w:val="21"/>
        </w:rPr>
      </w:pPr>
      <w:r w:rsidRPr="00653123">
        <w:rPr>
          <w:rFonts w:ascii="微软雅黑" w:eastAsia="微软雅黑" w:hAnsi="微软雅黑" w:hint="eastAsia"/>
          <w:b/>
        </w:rPr>
        <w:t>行业业务介绍（who we serve）</w:t>
      </w:r>
    </w:p>
    <w:p w:rsidR="005358C7" w:rsidRPr="00653123" w:rsidRDefault="005358C7" w:rsidP="005358C7">
      <w:pPr>
        <w:pStyle w:val="a5"/>
        <w:ind w:left="516" w:firstLineChars="0" w:firstLine="0"/>
        <w:rPr>
          <w:rFonts w:ascii="微软雅黑" w:eastAsia="微软雅黑" w:hAnsi="微软雅黑" w:cstheme="minorBidi"/>
          <w:color w:val="365F91" w:themeColor="accent1" w:themeShade="BF"/>
          <w:kern w:val="2"/>
          <w:sz w:val="21"/>
          <w:szCs w:val="21"/>
        </w:rPr>
      </w:pPr>
      <w:r w:rsidRPr="00653123">
        <w:rPr>
          <w:rFonts w:ascii="微软雅黑" w:eastAsia="微软雅黑" w:hAnsi="微软雅黑" w:cstheme="minorBidi" w:hint="eastAsia"/>
          <w:color w:val="365F91" w:themeColor="accent1" w:themeShade="BF"/>
          <w:kern w:val="2"/>
          <w:sz w:val="21"/>
          <w:szCs w:val="21"/>
        </w:rPr>
        <w:t>（一）合作历程</w:t>
      </w:r>
    </w:p>
    <w:p w:rsidR="005358C7" w:rsidRPr="00373792" w:rsidRDefault="005358C7" w:rsidP="005358C7">
      <w:pPr>
        <w:numPr>
          <w:ilvl w:val="0"/>
          <w:numId w:val="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2002年7月,首次合作, 签订原料外仓(冷库)的仓储服务合同;</w:t>
      </w:r>
    </w:p>
    <w:p w:rsidR="005358C7" w:rsidRPr="00373792" w:rsidRDefault="005358C7" w:rsidP="005358C7">
      <w:pPr>
        <w:numPr>
          <w:ilvl w:val="0"/>
          <w:numId w:val="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2003年9月签订成品仓储物流服务,成为DBC第二家仓储合作伙伴;</w:t>
      </w:r>
    </w:p>
    <w:p w:rsidR="005358C7" w:rsidRPr="00373792" w:rsidRDefault="005358C7" w:rsidP="005358C7">
      <w:pPr>
        <w:numPr>
          <w:ilvl w:val="0"/>
          <w:numId w:val="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2005年度的仓储业务服务增加到总量的50%;</w:t>
      </w:r>
    </w:p>
    <w:p w:rsidR="005358C7" w:rsidRPr="00373792" w:rsidRDefault="005358C7" w:rsidP="005358C7">
      <w:pPr>
        <w:numPr>
          <w:ilvl w:val="0"/>
          <w:numId w:val="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2006年业务合作项目增加至运输领域;</w:t>
      </w:r>
    </w:p>
    <w:p w:rsidR="005358C7" w:rsidRPr="00373792" w:rsidRDefault="005358C7" w:rsidP="005358C7">
      <w:pPr>
        <w:numPr>
          <w:ilvl w:val="0"/>
          <w:numId w:val="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2007业务合作量继续增长;</w:t>
      </w:r>
    </w:p>
    <w:p w:rsidR="005358C7" w:rsidRPr="00373792" w:rsidRDefault="005358C7" w:rsidP="005358C7">
      <w:pPr>
        <w:numPr>
          <w:ilvl w:val="1"/>
          <w:numId w:val="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100%上海仓储服务(包括短驳)—3月份开始</w:t>
      </w:r>
    </w:p>
    <w:p w:rsidR="005358C7" w:rsidRPr="00373792" w:rsidRDefault="005358C7" w:rsidP="005358C7">
      <w:pPr>
        <w:numPr>
          <w:ilvl w:val="1"/>
          <w:numId w:val="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100%市内运输送客户—4月份开始 </w:t>
      </w:r>
    </w:p>
    <w:p w:rsidR="005358C7" w:rsidRPr="00373792" w:rsidRDefault="005358C7" w:rsidP="005358C7">
      <w:pPr>
        <w:numPr>
          <w:ilvl w:val="1"/>
          <w:numId w:val="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新增浙西运输送客户—4月份开始 </w:t>
      </w:r>
    </w:p>
    <w:p w:rsidR="005358C7" w:rsidRPr="00373792" w:rsidRDefault="005358C7" w:rsidP="005358C7">
      <w:pPr>
        <w:numPr>
          <w:ilvl w:val="0"/>
          <w:numId w:val="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2008年11月卡夫DT库迁至奉贤;</w:t>
      </w:r>
    </w:p>
    <w:p w:rsidR="005358C7" w:rsidRPr="00373792" w:rsidRDefault="005358C7" w:rsidP="005358C7">
      <w:pPr>
        <w:numPr>
          <w:ilvl w:val="0"/>
          <w:numId w:val="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2010年5月卡夫KA库迁至奉贤。 </w:t>
      </w:r>
    </w:p>
    <w:p w:rsidR="005358C7" w:rsidRPr="00373792" w:rsidRDefault="005358C7" w:rsidP="005358C7">
      <w:pPr>
        <w:numPr>
          <w:ilvl w:val="0"/>
          <w:numId w:val="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2011年 10月卡夫苏州NDC开仓 </w:t>
      </w:r>
    </w:p>
    <w:p w:rsidR="005358C7" w:rsidRPr="00373792" w:rsidRDefault="005358C7" w:rsidP="005358C7">
      <w:pPr>
        <w:numPr>
          <w:ilvl w:val="0"/>
          <w:numId w:val="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2012年6月卡夫西安仓开仓 </w:t>
      </w:r>
    </w:p>
    <w:p w:rsidR="005358C7" w:rsidRPr="00373792" w:rsidRDefault="005358C7" w:rsidP="005358C7">
      <w:pPr>
        <w:numPr>
          <w:ilvl w:val="0"/>
          <w:numId w:val="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2012年 8月卡夫苏州RDC开仓</w:t>
      </w:r>
    </w:p>
    <w:p w:rsidR="005358C7" w:rsidRPr="00373792" w:rsidRDefault="005358C7" w:rsidP="005358C7">
      <w:p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 xml:space="preserve"> 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（二）服务内容：</w:t>
      </w:r>
    </w:p>
    <w:p w:rsidR="005358C7" w:rsidRPr="00373792" w:rsidRDefault="005358C7" w:rsidP="005358C7">
      <w:pPr>
        <w:numPr>
          <w:ilvl w:val="1"/>
          <w:numId w:val="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上海市内1200家零售店配送工厂</w:t>
      </w:r>
    </w:p>
    <w:p w:rsidR="005358C7" w:rsidRPr="00373792" w:rsidRDefault="005358C7" w:rsidP="005358C7">
      <w:pPr>
        <w:numPr>
          <w:ilvl w:val="1"/>
          <w:numId w:val="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短拨及返厂：</w:t>
      </w:r>
    </w:p>
    <w:p w:rsidR="005358C7" w:rsidRPr="00373792" w:rsidRDefault="005358C7" w:rsidP="005358C7">
      <w:pPr>
        <w:numPr>
          <w:ilvl w:val="1"/>
          <w:numId w:val="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长途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>DC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调拨：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 xml:space="preserve"> 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江门至上海，上海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>/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苏州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>-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西安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>/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武汉</w:t>
      </w:r>
    </w:p>
    <w:p w:rsidR="005358C7" w:rsidRPr="00373792" w:rsidRDefault="005358C7" w:rsidP="005358C7">
      <w:pPr>
        <w:numPr>
          <w:ilvl w:val="1"/>
          <w:numId w:val="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长途客户（经销商/卖场/KA大仓）运输：浙/皖/苏/闽</w:t>
      </w:r>
    </w:p>
    <w:p w:rsidR="005358C7" w:rsidRPr="00373792" w:rsidRDefault="005358C7" w:rsidP="005358C7">
      <w:pPr>
        <w:numPr>
          <w:ilvl w:val="1"/>
          <w:numId w:val="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多种增值服务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 xml:space="preserve"> </w:t>
      </w:r>
    </w:p>
    <w:p w:rsidR="005358C7" w:rsidRPr="00373792" w:rsidRDefault="005358C7" w:rsidP="005358C7">
      <w:pPr>
        <w:ind w:left="1440"/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贴标，换箱，刷码，翻包，新年促销装等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>Co-Pack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服务</w:t>
      </w:r>
    </w:p>
    <w:p w:rsidR="005358C7" w:rsidRPr="00373792" w:rsidRDefault="005358C7" w:rsidP="005358C7">
      <w:pPr>
        <w:numPr>
          <w:ilvl w:val="1"/>
          <w:numId w:val="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lastRenderedPageBreak/>
        <w:t>24小时仓储服务，出库入库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，装卸服务等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>；</w:t>
      </w:r>
    </w:p>
    <w:p w:rsidR="005358C7" w:rsidRPr="00373792" w:rsidRDefault="005358C7" w:rsidP="005358C7">
      <w:pPr>
        <w:numPr>
          <w:ilvl w:val="1"/>
          <w:numId w:val="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24小时系统服务：B2B系统对接，系统报订单，卡夫运输排单；</w:t>
      </w:r>
    </w:p>
    <w:p w:rsidR="005358C7" w:rsidRPr="00373792" w:rsidRDefault="005358C7" w:rsidP="005358C7">
      <w:p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（三）运作量</w:t>
      </w:r>
    </w:p>
    <w:p w:rsidR="005358C7" w:rsidRPr="00373792" w:rsidRDefault="005358C7" w:rsidP="005358C7">
      <w:pPr>
        <w:ind w:left="1440"/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/>
          <w:noProof/>
          <w:color w:val="365F91" w:themeColor="accent1" w:themeShade="BF"/>
          <w:szCs w:val="21"/>
        </w:rPr>
        <w:drawing>
          <wp:inline distT="0" distB="0" distL="0" distR="0">
            <wp:extent cx="2438400" cy="1485900"/>
            <wp:effectExtent l="19050" t="0" r="0" b="0"/>
            <wp:docPr id="15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24800" cy="5486400"/>
                      <a:chOff x="838200" y="1066800"/>
                      <a:chExt cx="7924800" cy="5486400"/>
                    </a:xfrm>
                  </a:grpSpPr>
                  <a:graphicFrame>
                    <a:nvGraphicFramePr>
                      <a:cNvPr id="43" name="图表 42"/>
                      <a:cNvGraphicFramePr/>
                    </a:nvGraphicFramePr>
                    <a:graphic>
                      <a:graphicData uri="http://schemas.openxmlformats.org/drawingml/2006/chart">
                        <c:chart xmlns:c="http://schemas.openxmlformats.org/drawingml/2006/chart" xmlns:r="http://schemas.openxmlformats.org/officeDocument/2006/relationships" r:id="rId8"/>
                      </a:graphicData>
                    </a:graphic>
                    <a:xfrm>
                      <a:off x="838200" y="1524000"/>
                      <a:ext cx="7924800" cy="5029200"/>
                    </a:xfrm>
                  </a:graphicFrame>
                  <a:sp>
                    <a:nvSpPr>
                      <a:cNvPr id="29703" name="TextBox 4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143000" y="1066800"/>
                        <a:ext cx="259080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dirty="0"/>
                            <a:t>（单位：立方）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358C7" w:rsidRPr="0013118A" w:rsidRDefault="005358C7" w:rsidP="005358C7">
      <w:pPr>
        <w:rPr>
          <w:rFonts w:ascii="微软雅黑" w:eastAsia="微软雅黑" w:hAnsi="微软雅黑"/>
          <w:color w:val="365F91" w:themeColor="accent1" w:themeShade="BF"/>
          <w:szCs w:val="21"/>
        </w:rPr>
      </w:pPr>
      <w:r w:rsidRPr="0013118A">
        <w:rPr>
          <w:rFonts w:ascii="微软雅黑" w:eastAsia="微软雅黑" w:hAnsi="微软雅黑" w:hint="eastAsia"/>
          <w:color w:val="365F91" w:themeColor="accent1" w:themeShade="BF"/>
          <w:szCs w:val="21"/>
        </w:rPr>
        <w:t>（四）建立长期且稳固的战略合作伙伴关系：</w:t>
      </w:r>
    </w:p>
    <w:p w:rsidR="005358C7" w:rsidRPr="0013118A" w:rsidRDefault="005358C7" w:rsidP="005358C7">
      <w:pPr>
        <w:numPr>
          <w:ilvl w:val="0"/>
          <w:numId w:val="12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13118A">
        <w:rPr>
          <w:rFonts w:ascii="微软雅黑" w:eastAsia="微软雅黑" w:hAnsi="微软雅黑" w:hint="eastAsia"/>
          <w:szCs w:val="21"/>
        </w:rPr>
        <w:t xml:space="preserve">  </w:t>
      </w:r>
      <w:r w:rsidRPr="0013118A">
        <w:rPr>
          <w:rFonts w:ascii="微软雅黑" w:eastAsia="微软雅黑" w:hAnsi="微软雅黑" w:hint="eastAsia"/>
          <w:color w:val="365F91" w:themeColor="accent1" w:themeShade="BF"/>
          <w:szCs w:val="21"/>
        </w:rPr>
        <w:t>中国外运为卡夫量身定制仓库，实现共赢；</w:t>
      </w:r>
    </w:p>
    <w:p w:rsidR="005358C7" w:rsidRPr="0013118A" w:rsidRDefault="005358C7" w:rsidP="005358C7">
      <w:pPr>
        <w:numPr>
          <w:ilvl w:val="0"/>
          <w:numId w:val="12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13118A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 为卡夫的战略并购及自然增长提供有力的资源支持；</w:t>
      </w:r>
    </w:p>
    <w:p w:rsidR="005358C7" w:rsidRPr="0013118A" w:rsidRDefault="005358C7" w:rsidP="005358C7">
      <w:pPr>
        <w:numPr>
          <w:ilvl w:val="0"/>
          <w:numId w:val="12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13118A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 提高自有车辆比例，实现自华东逐步辐射至全国的自有运输车辆队伍；</w:t>
      </w:r>
    </w:p>
    <w:p w:rsidR="005358C7" w:rsidRPr="0013118A" w:rsidRDefault="005358C7" w:rsidP="005358C7">
      <w:pPr>
        <w:numPr>
          <w:ilvl w:val="0"/>
          <w:numId w:val="12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13118A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 加大直送客户的运输能力，符合卡夫市场发展策略；</w:t>
      </w:r>
    </w:p>
    <w:p w:rsidR="005358C7" w:rsidRPr="0013118A" w:rsidRDefault="005358C7" w:rsidP="005358C7">
      <w:pPr>
        <w:numPr>
          <w:ilvl w:val="0"/>
          <w:numId w:val="12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13118A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 提高增值服务能力，为卡夫配备高效、保质保量的运作队伍；</w:t>
      </w:r>
    </w:p>
    <w:p w:rsidR="00E267B7" w:rsidRDefault="005358C7" w:rsidP="005358C7">
      <w:pPr>
        <w:rPr>
          <w:rFonts w:ascii="微软雅黑" w:eastAsia="微软雅黑" w:hAnsi="微软雅黑" w:hint="eastAsia"/>
          <w:color w:val="365F91" w:themeColor="accent1" w:themeShade="BF"/>
          <w:szCs w:val="21"/>
        </w:rPr>
      </w:pPr>
      <w:r w:rsidRPr="0013118A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 获得卡夫更大的运输份额，通过运输整合最大化以降低卡夫的物流成本；</w:t>
      </w:r>
    </w:p>
    <w:p w:rsidR="005358C7" w:rsidRPr="00E81494" w:rsidRDefault="005358C7" w:rsidP="005358C7">
      <w:pPr>
        <w:rPr>
          <w:rFonts w:ascii="微软雅黑" w:eastAsia="微软雅黑" w:hAnsi="微软雅黑"/>
          <w:color w:val="365F91" w:themeColor="accent1" w:themeShade="BF"/>
          <w:szCs w:val="21"/>
        </w:rPr>
      </w:pPr>
      <w:r w:rsidRPr="00424FBF">
        <w:rPr>
          <w:rFonts w:ascii="微软雅黑" w:eastAsia="微软雅黑" w:hAnsi="微软雅黑" w:hint="eastAsia"/>
          <w:b/>
          <w:szCs w:val="21"/>
        </w:rPr>
        <w:t>为此行业提供的服务类型</w:t>
      </w:r>
      <w:r>
        <w:rPr>
          <w:rFonts w:ascii="微软雅黑" w:eastAsia="微软雅黑" w:hAnsi="微软雅黑" w:hint="eastAsia"/>
          <w:b/>
          <w:szCs w:val="21"/>
        </w:rPr>
        <w:t>-</w:t>
      </w:r>
      <w:r w:rsidRPr="00E81494">
        <w:rPr>
          <w:rFonts w:ascii="微软雅黑" w:eastAsia="微软雅黑" w:hAnsi="微软雅黑"/>
          <w:color w:val="365F91" w:themeColor="accent1" w:themeShade="BF"/>
          <w:szCs w:val="21"/>
        </w:rPr>
        <w:t xml:space="preserve"> </w:t>
      </w:r>
    </w:p>
    <w:p w:rsidR="005358C7" w:rsidRPr="00373792" w:rsidRDefault="005358C7" w:rsidP="005358C7">
      <w:pPr>
        <w:numPr>
          <w:ilvl w:val="1"/>
          <w:numId w:val="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上海市内1200家零售店配送工厂</w:t>
      </w:r>
    </w:p>
    <w:p w:rsidR="005358C7" w:rsidRPr="00373792" w:rsidRDefault="005358C7" w:rsidP="005358C7">
      <w:pPr>
        <w:numPr>
          <w:ilvl w:val="1"/>
          <w:numId w:val="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短拨及返厂：</w:t>
      </w:r>
    </w:p>
    <w:p w:rsidR="005358C7" w:rsidRPr="00373792" w:rsidRDefault="005358C7" w:rsidP="005358C7">
      <w:pPr>
        <w:numPr>
          <w:ilvl w:val="1"/>
          <w:numId w:val="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长途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>DC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调拨：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 xml:space="preserve"> 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江门至上海，上海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>/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苏州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>-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西安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>/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武汉</w:t>
      </w:r>
    </w:p>
    <w:p w:rsidR="005358C7" w:rsidRPr="00373792" w:rsidRDefault="005358C7" w:rsidP="005358C7">
      <w:pPr>
        <w:numPr>
          <w:ilvl w:val="1"/>
          <w:numId w:val="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长途客户（经销商/卖场/KA大仓）运输：浙/皖/苏/闽</w:t>
      </w:r>
    </w:p>
    <w:p w:rsidR="005358C7" w:rsidRPr="00373792" w:rsidRDefault="005358C7" w:rsidP="005358C7">
      <w:pPr>
        <w:numPr>
          <w:ilvl w:val="1"/>
          <w:numId w:val="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多种增值服务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 xml:space="preserve"> </w:t>
      </w:r>
    </w:p>
    <w:p w:rsidR="005358C7" w:rsidRDefault="005358C7" w:rsidP="005358C7">
      <w:pPr>
        <w:ind w:left="1440"/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贴标，换箱，刷码，翻包，新年促销装等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>Co-Pack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服务</w:t>
      </w:r>
    </w:p>
    <w:p w:rsidR="005358C7" w:rsidRDefault="005358C7" w:rsidP="005358C7">
      <w:pPr>
        <w:numPr>
          <w:ilvl w:val="0"/>
          <w:numId w:val="10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2010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年底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65000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箱奥利奥冬季装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co-pack</w:t>
      </w:r>
    </w:p>
    <w:p w:rsidR="005358C7" w:rsidRPr="00650661" w:rsidRDefault="005358C7" w:rsidP="005358C7">
      <w:pPr>
        <w:numPr>
          <w:ilvl w:val="0"/>
          <w:numId w:val="10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lastRenderedPageBreak/>
        <w:t>2011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年共完成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126218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箱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co-pack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；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 xml:space="preserve"> </w:t>
      </w:r>
    </w:p>
    <w:p w:rsidR="005358C7" w:rsidRDefault="005358C7" w:rsidP="005358C7">
      <w:pPr>
        <w:numPr>
          <w:ilvl w:val="0"/>
          <w:numId w:val="1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2012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年目前已完成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155278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箱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co-pack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，有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10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万箱正在进行中；</w:t>
      </w:r>
    </w:p>
    <w:p w:rsidR="005358C7" w:rsidRDefault="005358C7" w:rsidP="005358C7">
      <w:pPr>
        <w:numPr>
          <w:ilvl w:val="0"/>
          <w:numId w:val="1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>
        <w:rPr>
          <w:rFonts w:ascii="微软雅黑" w:eastAsia="微软雅黑" w:hAnsi="微软雅黑" w:hint="eastAsia"/>
          <w:color w:val="365F91" w:themeColor="accent1" w:themeShade="BF"/>
          <w:szCs w:val="21"/>
        </w:rPr>
        <w:t>2012年CNY重包装业务：上海18万箱，苏州24万箱，北京40万箱；</w:t>
      </w:r>
    </w:p>
    <w:p w:rsidR="005358C7" w:rsidRDefault="005358C7" w:rsidP="005358C7">
      <w:pPr>
        <w:rPr>
          <w:rFonts w:ascii="微软雅黑" w:eastAsia="微软雅黑" w:hAnsi="微软雅黑" w:hint="eastAsia"/>
        </w:rPr>
      </w:pPr>
      <w:r w:rsidRPr="005358C7">
        <w:rPr>
          <w:rFonts w:ascii="微软雅黑" w:eastAsia="微软雅黑" w:hAnsi="微软雅黑"/>
        </w:rPr>
        <w:drawing>
          <wp:inline distT="0" distB="0" distL="0" distR="0">
            <wp:extent cx="4301490" cy="1642533"/>
            <wp:effectExtent l="19050" t="0" r="22860" b="0"/>
            <wp:docPr id="16" name="图表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358C7" w:rsidRDefault="005358C7" w:rsidP="005358C7">
      <w:pPr>
        <w:rPr>
          <w:rFonts w:ascii="微软雅黑" w:eastAsia="微软雅黑" w:hAnsi="微软雅黑" w:hint="eastAsia"/>
        </w:rPr>
      </w:pPr>
    </w:p>
    <w:tbl>
      <w:tblPr>
        <w:tblW w:w="81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00"/>
        <w:gridCol w:w="2580"/>
        <w:gridCol w:w="2580"/>
      </w:tblGrid>
      <w:tr w:rsidR="005358C7" w:rsidRPr="00B47A2E" w:rsidTr="00B8693A">
        <w:trPr>
          <w:trHeight w:val="36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CNY重包装资源准备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上海RDC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苏州RDC</w:t>
            </w:r>
          </w:p>
        </w:tc>
      </w:tr>
      <w:tr w:rsidR="005358C7" w:rsidRPr="00B47A2E" w:rsidTr="00B8693A">
        <w:trPr>
          <w:trHeight w:val="36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场地(平米）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6000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6000</w:t>
            </w:r>
          </w:p>
        </w:tc>
      </w:tr>
      <w:tr w:rsidR="005358C7" w:rsidRPr="00B47A2E" w:rsidTr="00B8693A">
        <w:trPr>
          <w:trHeight w:val="36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现场监管人员（个）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4</w:t>
            </w:r>
          </w:p>
        </w:tc>
      </w:tr>
      <w:tr w:rsidR="005358C7" w:rsidRPr="00B47A2E" w:rsidTr="00B8693A">
        <w:trPr>
          <w:trHeight w:val="36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操作人员（个）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120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120</w:t>
            </w:r>
          </w:p>
        </w:tc>
      </w:tr>
      <w:tr w:rsidR="005358C7" w:rsidRPr="00B47A2E" w:rsidTr="00B8693A">
        <w:trPr>
          <w:trHeight w:val="36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喷码机（台）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2</w:t>
            </w:r>
          </w:p>
        </w:tc>
      </w:tr>
      <w:tr w:rsidR="005358C7" w:rsidRPr="00B47A2E" w:rsidTr="00B8693A">
        <w:trPr>
          <w:trHeight w:val="36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封箱机（台）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2</w:t>
            </w:r>
          </w:p>
        </w:tc>
      </w:tr>
      <w:tr w:rsidR="005358C7" w:rsidRPr="00B47A2E" w:rsidTr="00B8693A">
        <w:trPr>
          <w:trHeight w:val="36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封口机（台）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7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7</w:t>
            </w:r>
          </w:p>
        </w:tc>
      </w:tr>
      <w:tr w:rsidR="005358C7" w:rsidRPr="00B47A2E" w:rsidTr="00B8693A">
        <w:trPr>
          <w:trHeight w:val="36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热塑封机（台）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2</w:t>
            </w:r>
          </w:p>
        </w:tc>
      </w:tr>
      <w:tr w:rsidR="005358C7" w:rsidRPr="00B47A2E" w:rsidTr="00B8693A">
        <w:trPr>
          <w:trHeight w:val="36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叉车（台）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B47A2E" w:rsidRDefault="005358C7" w:rsidP="00B8693A">
            <w:pPr>
              <w:numPr>
                <w:ilvl w:val="0"/>
                <w:numId w:val="11"/>
              </w:numPr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B47A2E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4</w:t>
            </w:r>
          </w:p>
        </w:tc>
      </w:tr>
    </w:tbl>
    <w:p w:rsidR="005358C7" w:rsidRPr="00373792" w:rsidRDefault="005358C7" w:rsidP="005358C7">
      <w:pPr>
        <w:numPr>
          <w:ilvl w:val="1"/>
          <w:numId w:val="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>24小时仓储服务，出库入库</w:t>
      </w: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，装卸服务等</w:t>
      </w:r>
      <w:r w:rsidRPr="00373792">
        <w:rPr>
          <w:rFonts w:ascii="微软雅黑" w:eastAsia="微软雅黑" w:hAnsi="微软雅黑"/>
          <w:color w:val="365F91" w:themeColor="accent1" w:themeShade="BF"/>
          <w:szCs w:val="21"/>
        </w:rPr>
        <w:t>；</w:t>
      </w:r>
    </w:p>
    <w:p w:rsidR="005358C7" w:rsidRDefault="005358C7" w:rsidP="005358C7">
      <w:pPr>
        <w:rPr>
          <w:rFonts w:ascii="微软雅黑" w:eastAsia="微软雅黑" w:hAnsi="微软雅黑" w:hint="eastAsia"/>
          <w:color w:val="365F91" w:themeColor="accent1" w:themeShade="BF"/>
          <w:szCs w:val="21"/>
        </w:rPr>
      </w:pPr>
      <w:r w:rsidRPr="00373792">
        <w:rPr>
          <w:rFonts w:ascii="微软雅黑" w:eastAsia="微软雅黑" w:hAnsi="微软雅黑" w:hint="eastAsia"/>
          <w:color w:val="365F91" w:themeColor="accent1" w:themeShade="BF"/>
          <w:szCs w:val="21"/>
        </w:rPr>
        <w:t>24小时系统服务：B2B系统对接，系统报订单，卡夫运输排单；</w:t>
      </w:r>
    </w:p>
    <w:p w:rsidR="005358C7" w:rsidRDefault="005358C7" w:rsidP="005358C7">
      <w:pPr>
        <w:rPr>
          <w:rFonts w:ascii="微软雅黑" w:eastAsia="微软雅黑" w:hAnsi="微软雅黑" w:hint="eastAsia"/>
          <w:color w:val="365F91" w:themeColor="accent1" w:themeShade="BF"/>
          <w:szCs w:val="21"/>
        </w:rPr>
      </w:pPr>
    </w:p>
    <w:p w:rsidR="005358C7" w:rsidRPr="005358C7" w:rsidRDefault="005358C7" w:rsidP="005358C7">
      <w:pPr>
        <w:pStyle w:val="a5"/>
        <w:numPr>
          <w:ilvl w:val="0"/>
          <w:numId w:val="2"/>
        </w:numPr>
        <w:ind w:firstLineChars="0"/>
        <w:rPr>
          <w:rFonts w:ascii="微软雅黑" w:eastAsia="微软雅黑" w:hAnsi="微软雅黑" w:hint="eastAsia"/>
          <w:b/>
        </w:rPr>
      </w:pPr>
      <w:r w:rsidRPr="005358C7">
        <w:rPr>
          <w:rFonts w:ascii="微软雅黑" w:eastAsia="微软雅黑" w:hAnsi="微软雅黑" w:hint="eastAsia"/>
          <w:b/>
        </w:rPr>
        <w:t>服务内容-先列出服务范围和服务方式，再逐条详述（what we do）。</w:t>
      </w:r>
    </w:p>
    <w:p w:rsidR="005358C7" w:rsidRDefault="005358C7" w:rsidP="005358C7">
      <w:pPr>
        <w:ind w:left="36"/>
        <w:rPr>
          <w:rFonts w:ascii="微软雅黑" w:eastAsia="微软雅黑" w:hAnsi="微软雅黑"/>
          <w:b/>
        </w:rPr>
      </w:pPr>
      <w:r w:rsidRPr="00E267B7">
        <w:rPr>
          <w:rFonts w:ascii="微软雅黑" w:eastAsia="微软雅黑" w:hAnsi="微软雅黑" w:hint="eastAsia"/>
          <w:b/>
        </w:rPr>
        <w:lastRenderedPageBreak/>
        <w:t>服务1</w:t>
      </w:r>
    </w:p>
    <w:p w:rsidR="005358C7" w:rsidRPr="00475409" w:rsidRDefault="005358C7" w:rsidP="005358C7">
      <w:pPr>
        <w:rPr>
          <w:rFonts w:ascii="微软雅黑" w:eastAsia="微软雅黑" w:hAnsi="微软雅黑"/>
          <w:color w:val="365F91" w:themeColor="accent1" w:themeShade="BF"/>
          <w:szCs w:val="21"/>
        </w:rPr>
      </w:pPr>
      <w:r>
        <w:rPr>
          <w:rFonts w:ascii="微软雅黑" w:eastAsia="微软雅黑" w:hAnsi="微软雅黑" w:hint="eastAsia"/>
          <w:b/>
        </w:rPr>
        <w:t>a</w:t>
      </w:r>
      <w:r w:rsidRPr="00475409">
        <w:rPr>
          <w:rFonts w:ascii="微软雅黑" w:eastAsia="微软雅黑" w:hAnsi="微软雅黑" w:hint="eastAsia"/>
        </w:rPr>
        <w:t>.</w:t>
      </w:r>
      <w:r w:rsidRPr="00475409">
        <w:rPr>
          <w:rFonts w:ascii="微软雅黑" w:eastAsia="微软雅黑" w:hAnsi="微软雅黑" w:hint="eastAsia"/>
          <w:color w:val="365F91" w:themeColor="accent1" w:themeShade="BF"/>
          <w:szCs w:val="21"/>
        </w:rPr>
        <w:t>重包装</w:t>
      </w:r>
    </w:p>
    <w:p w:rsidR="005358C7" w:rsidRDefault="005358C7" w:rsidP="005358C7">
      <w:pPr>
        <w:numPr>
          <w:ilvl w:val="0"/>
          <w:numId w:val="10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2010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年底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65000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箱奥利奥冬季装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co-pack</w:t>
      </w:r>
    </w:p>
    <w:p w:rsidR="005358C7" w:rsidRPr="00650661" w:rsidRDefault="005358C7" w:rsidP="005358C7">
      <w:pPr>
        <w:numPr>
          <w:ilvl w:val="0"/>
          <w:numId w:val="10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2011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年共完成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126218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箱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co-pack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；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 xml:space="preserve"> </w:t>
      </w:r>
    </w:p>
    <w:p w:rsidR="005358C7" w:rsidRDefault="005358C7" w:rsidP="005358C7">
      <w:pPr>
        <w:numPr>
          <w:ilvl w:val="0"/>
          <w:numId w:val="11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2012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年目前已完成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155278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箱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co-pack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，有</w:t>
      </w:r>
      <w:r w:rsidRPr="00650661">
        <w:rPr>
          <w:rFonts w:ascii="微软雅黑" w:eastAsia="微软雅黑" w:hAnsi="微软雅黑"/>
          <w:color w:val="365F91" w:themeColor="accent1" w:themeShade="BF"/>
          <w:szCs w:val="21"/>
        </w:rPr>
        <w:t>10</w:t>
      </w:r>
      <w:r w:rsidRPr="00650661">
        <w:rPr>
          <w:rFonts w:ascii="微软雅黑" w:eastAsia="微软雅黑" w:hAnsi="微软雅黑" w:hint="eastAsia"/>
          <w:color w:val="365F91" w:themeColor="accent1" w:themeShade="BF"/>
          <w:szCs w:val="21"/>
        </w:rPr>
        <w:t>万箱正在进行中；</w:t>
      </w:r>
    </w:p>
    <w:p w:rsidR="005358C7" w:rsidRDefault="005358C7" w:rsidP="005358C7">
      <w:pPr>
        <w:numPr>
          <w:ilvl w:val="0"/>
          <w:numId w:val="11"/>
        </w:numPr>
        <w:rPr>
          <w:rFonts w:ascii="微软雅黑" w:eastAsia="微软雅黑" w:hAnsi="微软雅黑" w:hint="eastAsia"/>
          <w:color w:val="365F91" w:themeColor="accent1" w:themeShade="BF"/>
          <w:szCs w:val="21"/>
        </w:rPr>
      </w:pPr>
      <w:r>
        <w:rPr>
          <w:rFonts w:ascii="微软雅黑" w:eastAsia="微软雅黑" w:hAnsi="微软雅黑" w:hint="eastAsia"/>
          <w:color w:val="365F91" w:themeColor="accent1" w:themeShade="BF"/>
          <w:szCs w:val="21"/>
        </w:rPr>
        <w:t>2012年CNY重包装业务：上海18万箱，苏州24万箱，北京40万箱；</w:t>
      </w:r>
    </w:p>
    <w:p w:rsidR="005358C7" w:rsidRDefault="005358C7" w:rsidP="005358C7">
      <w:pPr>
        <w:numPr>
          <w:ilvl w:val="0"/>
          <w:numId w:val="11"/>
        </w:numPr>
        <w:rPr>
          <w:rFonts w:ascii="微软雅黑" w:eastAsia="微软雅黑" w:hAnsi="微软雅黑" w:hint="eastAsia"/>
          <w:color w:val="365F91" w:themeColor="accent1" w:themeShade="BF"/>
          <w:szCs w:val="21"/>
        </w:rPr>
      </w:pPr>
      <w:r w:rsidRPr="005358C7">
        <w:rPr>
          <w:rFonts w:ascii="微软雅黑" w:eastAsia="微软雅黑" w:hAnsi="微软雅黑"/>
          <w:color w:val="365F91" w:themeColor="accent1" w:themeShade="BF"/>
          <w:szCs w:val="21"/>
        </w:rPr>
        <w:drawing>
          <wp:inline distT="0" distB="0" distL="0" distR="0">
            <wp:extent cx="3242310" cy="1188720"/>
            <wp:effectExtent l="19050" t="0" r="15240" b="0"/>
            <wp:docPr id="17" name="图表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358C7" w:rsidRDefault="005358C7">
      <w:pPr>
        <w:widowControl/>
        <w:jc w:val="left"/>
        <w:rPr>
          <w:rFonts w:ascii="微软雅黑" w:eastAsia="微软雅黑" w:hAnsi="微软雅黑"/>
          <w:color w:val="365F91" w:themeColor="accent1" w:themeShade="BF"/>
          <w:szCs w:val="21"/>
        </w:rPr>
      </w:pPr>
      <w:r>
        <w:rPr>
          <w:rFonts w:ascii="微软雅黑" w:eastAsia="微软雅黑" w:hAnsi="微软雅黑"/>
          <w:color w:val="365F91" w:themeColor="accent1" w:themeShade="BF"/>
          <w:szCs w:val="21"/>
        </w:rPr>
        <w:br w:type="page"/>
      </w:r>
    </w:p>
    <w:tbl>
      <w:tblPr>
        <w:tblW w:w="6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52"/>
        <w:gridCol w:w="1934"/>
        <w:gridCol w:w="1934"/>
      </w:tblGrid>
      <w:tr w:rsidR="005358C7" w:rsidRPr="00475409" w:rsidTr="009A0486">
        <w:trPr>
          <w:trHeight w:val="543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lastRenderedPageBreak/>
              <w:t>CNY重包装资源准备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上海RDC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苏州RDC</w:t>
            </w:r>
          </w:p>
        </w:tc>
      </w:tr>
      <w:tr w:rsidR="005358C7" w:rsidRPr="00475409" w:rsidTr="005358C7">
        <w:trPr>
          <w:trHeight w:val="293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场地(平米）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6000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6000</w:t>
            </w:r>
          </w:p>
        </w:tc>
      </w:tr>
      <w:tr w:rsidR="005358C7" w:rsidRPr="00475409" w:rsidTr="005358C7">
        <w:trPr>
          <w:trHeight w:val="293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现场监管人员（个）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4</w:t>
            </w:r>
          </w:p>
        </w:tc>
      </w:tr>
      <w:tr w:rsidR="005358C7" w:rsidRPr="00475409" w:rsidTr="005358C7">
        <w:trPr>
          <w:trHeight w:val="293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操作人员（个）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120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120</w:t>
            </w:r>
          </w:p>
        </w:tc>
      </w:tr>
      <w:tr w:rsidR="005358C7" w:rsidRPr="00475409" w:rsidTr="005358C7">
        <w:trPr>
          <w:trHeight w:val="293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喷码机（台）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2</w:t>
            </w:r>
          </w:p>
        </w:tc>
      </w:tr>
      <w:tr w:rsidR="005358C7" w:rsidRPr="00475409" w:rsidTr="005358C7">
        <w:trPr>
          <w:trHeight w:val="293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封箱机（台）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2</w:t>
            </w:r>
          </w:p>
        </w:tc>
      </w:tr>
      <w:tr w:rsidR="005358C7" w:rsidRPr="00475409" w:rsidTr="005358C7">
        <w:trPr>
          <w:trHeight w:val="293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封口机（台）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7</w:t>
            </w:r>
          </w:p>
        </w:tc>
      </w:tr>
      <w:tr w:rsidR="005358C7" w:rsidRPr="00475409" w:rsidTr="005358C7">
        <w:trPr>
          <w:trHeight w:val="293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热塑封机（台）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2</w:t>
            </w:r>
          </w:p>
        </w:tc>
      </w:tr>
      <w:tr w:rsidR="005358C7" w:rsidRPr="00475409" w:rsidTr="005358C7">
        <w:trPr>
          <w:trHeight w:val="293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叉车（台）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58C7" w:rsidRPr="00F13333" w:rsidRDefault="005358C7" w:rsidP="00B8693A">
            <w:pPr>
              <w:ind w:left="36"/>
              <w:rPr>
                <w:rFonts w:ascii="微软雅黑" w:eastAsia="微软雅黑" w:hAnsi="微软雅黑"/>
                <w:color w:val="365F91" w:themeColor="accent1" w:themeShade="BF"/>
                <w:szCs w:val="21"/>
              </w:rPr>
            </w:pPr>
            <w:r w:rsidRPr="00F13333">
              <w:rPr>
                <w:rFonts w:ascii="微软雅黑" w:eastAsia="微软雅黑" w:hAnsi="微软雅黑" w:hint="eastAsia"/>
                <w:color w:val="365F91" w:themeColor="accent1" w:themeShade="BF"/>
                <w:szCs w:val="21"/>
              </w:rPr>
              <w:t>4</w:t>
            </w:r>
          </w:p>
        </w:tc>
      </w:tr>
    </w:tbl>
    <w:p w:rsidR="005358C7" w:rsidRDefault="005358C7" w:rsidP="005358C7">
      <w:pPr>
        <w:ind w:left="36"/>
        <w:rPr>
          <w:rFonts w:ascii="微软雅黑" w:eastAsia="微软雅黑" w:hAnsi="微软雅黑"/>
          <w:b/>
        </w:rPr>
      </w:pPr>
      <w:r w:rsidRPr="00E267B7">
        <w:rPr>
          <w:rFonts w:ascii="微软雅黑" w:eastAsia="微软雅黑" w:hAnsi="微软雅黑" w:hint="eastAsia"/>
          <w:b/>
        </w:rPr>
        <w:t>服务2</w:t>
      </w:r>
    </w:p>
    <w:p w:rsidR="005358C7" w:rsidRPr="00475409" w:rsidRDefault="005358C7" w:rsidP="005358C7">
      <w:pPr>
        <w:ind w:left="36"/>
        <w:rPr>
          <w:rFonts w:ascii="微软雅黑" w:eastAsia="微软雅黑" w:hAnsi="微软雅黑"/>
          <w:color w:val="365F91" w:themeColor="accent1" w:themeShade="BF"/>
          <w:szCs w:val="21"/>
        </w:rPr>
      </w:pPr>
      <w:r>
        <w:rPr>
          <w:rFonts w:ascii="微软雅黑" w:eastAsia="微软雅黑" w:hAnsi="微软雅黑" w:hint="eastAsia"/>
        </w:rPr>
        <w:t>a</w:t>
      </w:r>
      <w:r w:rsidRPr="00475409">
        <w:rPr>
          <w:rFonts w:ascii="微软雅黑" w:eastAsia="微软雅黑" w:hAnsi="微软雅黑" w:hint="eastAsia"/>
          <w:color w:val="365F91" w:themeColor="accent1" w:themeShade="BF"/>
          <w:szCs w:val="21"/>
        </w:rPr>
        <w:t>.仓库设计优化</w:t>
      </w:r>
    </w:p>
    <w:p w:rsidR="005358C7" w:rsidRPr="00475409" w:rsidRDefault="005358C7" w:rsidP="005358C7">
      <w:pPr>
        <w:numPr>
          <w:ilvl w:val="0"/>
          <w:numId w:val="1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475409">
        <w:rPr>
          <w:rFonts w:ascii="微软雅黑" w:eastAsia="微软雅黑" w:hAnsi="微软雅黑" w:hint="eastAsia"/>
          <w:color w:val="365F91" w:themeColor="accent1" w:themeShade="BF"/>
          <w:szCs w:val="21"/>
        </w:rPr>
        <w:t>首先实现在同一平台下对同一货主的货品进行两个类别管理模式；</w:t>
      </w:r>
      <w:r w:rsidRPr="00475409">
        <w:rPr>
          <w:rFonts w:ascii="微软雅黑" w:eastAsia="微软雅黑" w:hAnsi="微软雅黑"/>
          <w:color w:val="365F91" w:themeColor="accent1" w:themeShade="BF"/>
          <w:szCs w:val="21"/>
        </w:rPr>
        <w:t xml:space="preserve"> </w:t>
      </w:r>
    </w:p>
    <w:p w:rsidR="005358C7" w:rsidRPr="00475409" w:rsidRDefault="005358C7" w:rsidP="005358C7">
      <w:pPr>
        <w:numPr>
          <w:ilvl w:val="0"/>
          <w:numId w:val="1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475409">
        <w:rPr>
          <w:rFonts w:ascii="微软雅黑" w:eastAsia="微软雅黑" w:hAnsi="微软雅黑" w:hint="eastAsia"/>
          <w:color w:val="365F91" w:themeColor="accent1" w:themeShade="BF"/>
          <w:szCs w:val="21"/>
        </w:rPr>
        <w:t>开发了库存占用报表，及时反馈出不同类型订单占用的库存数，有效减少了紧急调拨；</w:t>
      </w:r>
      <w:r w:rsidRPr="00475409">
        <w:rPr>
          <w:rFonts w:ascii="微软雅黑" w:eastAsia="微软雅黑" w:hAnsi="微软雅黑"/>
          <w:color w:val="365F91" w:themeColor="accent1" w:themeShade="BF"/>
          <w:szCs w:val="21"/>
        </w:rPr>
        <w:t xml:space="preserve"> </w:t>
      </w:r>
    </w:p>
    <w:p w:rsidR="005358C7" w:rsidRPr="00475409" w:rsidRDefault="005358C7" w:rsidP="005358C7">
      <w:pPr>
        <w:numPr>
          <w:ilvl w:val="0"/>
          <w:numId w:val="13"/>
        </w:numPr>
        <w:rPr>
          <w:rFonts w:ascii="微软雅黑" w:eastAsia="微软雅黑" w:hAnsi="微软雅黑"/>
          <w:color w:val="365F91" w:themeColor="accent1" w:themeShade="BF"/>
          <w:szCs w:val="21"/>
        </w:rPr>
      </w:pPr>
      <w:r w:rsidRPr="00475409">
        <w:rPr>
          <w:rFonts w:ascii="微软雅黑" w:eastAsia="微软雅黑" w:hAnsi="微软雅黑" w:hint="eastAsia"/>
          <w:color w:val="365F91" w:themeColor="accent1" w:themeShade="BF"/>
          <w:szCs w:val="21"/>
        </w:rPr>
        <w:t>定位拣货：根据物料出库量及出库频率进行分析并设置拣货库位，将出库量及出库频率较低品种拣货库位设置在前，同时分拣单采用按库位大小排序，确保员工在分拣小批量物料时，出库频率较高物料及时补充到库位上；</w:t>
      </w:r>
      <w:r w:rsidRPr="00475409">
        <w:rPr>
          <w:rFonts w:ascii="微软雅黑" w:eastAsia="微软雅黑" w:hAnsi="微软雅黑"/>
          <w:color w:val="365F91" w:themeColor="accent1" w:themeShade="BF"/>
          <w:szCs w:val="21"/>
        </w:rPr>
        <w:t xml:space="preserve"> </w:t>
      </w:r>
    </w:p>
    <w:p w:rsidR="005358C7" w:rsidRDefault="005358C7" w:rsidP="005358C7">
      <w:pPr>
        <w:rPr>
          <w:rFonts w:ascii="微软雅黑" w:eastAsia="微软雅黑" w:hAnsi="微软雅黑" w:hint="eastAsia"/>
          <w:color w:val="365F91" w:themeColor="accent1" w:themeShade="BF"/>
          <w:szCs w:val="21"/>
        </w:rPr>
      </w:pPr>
      <w:r w:rsidRPr="00475409">
        <w:rPr>
          <w:rFonts w:ascii="微软雅黑" w:eastAsia="微软雅黑" w:hAnsi="微软雅黑" w:hint="eastAsia"/>
          <w:color w:val="365F91" w:themeColor="accent1" w:themeShade="BF"/>
          <w:szCs w:val="21"/>
        </w:rPr>
        <w:t>首次创新性使用压入式货架，提高客户仓储利用率。</w:t>
      </w:r>
    </w:p>
    <w:p w:rsidR="005358C7" w:rsidRDefault="005358C7" w:rsidP="005358C7">
      <w:pPr>
        <w:rPr>
          <w:rFonts w:ascii="微软雅黑" w:eastAsia="微软雅黑" w:hAnsi="微软雅黑" w:hint="eastAsia"/>
          <w:color w:val="365F91" w:themeColor="accent1" w:themeShade="BF"/>
          <w:szCs w:val="21"/>
        </w:rPr>
      </w:pPr>
    </w:p>
    <w:p w:rsidR="005358C7" w:rsidRDefault="005358C7" w:rsidP="005358C7">
      <w:pPr>
        <w:rPr>
          <w:rFonts w:ascii="微软雅黑" w:eastAsia="微软雅黑" w:hAnsi="微软雅黑"/>
          <w:color w:val="365F91" w:themeColor="accent1" w:themeShade="BF"/>
          <w:szCs w:val="21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三、</w:t>
      </w:r>
      <w:r w:rsidRPr="00E267B7">
        <w:rPr>
          <w:rFonts w:ascii="微软雅黑" w:eastAsia="微软雅黑" w:hAnsi="微软雅黑" w:hint="eastAsia"/>
          <w:b/>
          <w:sz w:val="24"/>
          <w:szCs w:val="24"/>
        </w:rPr>
        <w:t>业务资源</w:t>
      </w:r>
      <w:r>
        <w:rPr>
          <w:rFonts w:ascii="微软雅黑" w:eastAsia="微软雅黑" w:hAnsi="微软雅黑" w:hint="eastAsia"/>
          <w:b/>
          <w:sz w:val="24"/>
          <w:szCs w:val="24"/>
        </w:rPr>
        <w:t>（where we are）-</w:t>
      </w:r>
      <w:r w:rsidRPr="004F04A9">
        <w:rPr>
          <w:rFonts w:ascii="微软雅黑" w:eastAsia="微软雅黑" w:hAnsi="微软雅黑" w:hint="eastAsia"/>
          <w:sz w:val="24"/>
          <w:szCs w:val="24"/>
        </w:rPr>
        <w:t>仓库面积、车辆路线、团队建设、技术系统</w:t>
      </w:r>
    </w:p>
    <w:p w:rsidR="005358C7" w:rsidRPr="00F13333" w:rsidRDefault="005358C7" w:rsidP="005358C7">
      <w:pPr>
        <w:rPr>
          <w:rFonts w:ascii="微软雅黑" w:eastAsia="微软雅黑" w:hAnsi="微软雅黑"/>
          <w:color w:val="365F91" w:themeColor="accent1" w:themeShade="BF"/>
          <w:szCs w:val="21"/>
        </w:rPr>
      </w:pPr>
      <w:r w:rsidRPr="00F13333">
        <w:rPr>
          <w:rFonts w:ascii="微软雅黑" w:eastAsia="微软雅黑" w:hAnsi="微软雅黑" w:hint="eastAsia"/>
          <w:color w:val="365F91" w:themeColor="accent1" w:themeShade="BF"/>
          <w:szCs w:val="21"/>
        </w:rPr>
        <w:t>仓库资源：</w:t>
      </w:r>
    </w:p>
    <w:p w:rsidR="005358C7" w:rsidRPr="00F13333" w:rsidRDefault="005358C7" w:rsidP="005358C7">
      <w:pPr>
        <w:rPr>
          <w:rFonts w:ascii="微软雅黑" w:eastAsia="微软雅黑" w:hAnsi="微软雅黑"/>
          <w:color w:val="365F91" w:themeColor="accent1" w:themeShade="BF"/>
          <w:szCs w:val="21"/>
        </w:rPr>
      </w:pPr>
      <w:r w:rsidRPr="00F13333">
        <w:rPr>
          <w:rFonts w:ascii="微软雅黑" w:eastAsia="微软雅黑" w:hAnsi="微软雅黑" w:hint="eastAsia"/>
          <w:color w:val="365F91" w:themeColor="accent1" w:themeShade="BF"/>
          <w:szCs w:val="21"/>
        </w:rPr>
        <w:t>1）仓库面积：上海CN85：23572.94平；上海CN86：15000平；</w:t>
      </w:r>
    </w:p>
    <w:p w:rsidR="005358C7" w:rsidRPr="00F13333" w:rsidRDefault="005358C7" w:rsidP="005358C7">
      <w:pPr>
        <w:rPr>
          <w:rFonts w:ascii="微软雅黑" w:eastAsia="微软雅黑" w:hAnsi="微软雅黑"/>
          <w:color w:val="365F91" w:themeColor="accent1" w:themeShade="BF"/>
          <w:szCs w:val="21"/>
        </w:rPr>
      </w:pPr>
      <w:r w:rsidRPr="00F13333">
        <w:rPr>
          <w:rFonts w:ascii="微软雅黑" w:eastAsia="微软雅黑" w:hAnsi="微软雅黑" w:hint="eastAsia"/>
          <w:color w:val="365F91" w:themeColor="accent1" w:themeShade="BF"/>
          <w:szCs w:val="21"/>
        </w:rPr>
        <w:lastRenderedPageBreak/>
        <w:t xml:space="preserve">             苏州C23：1</w:t>
      </w:r>
      <w:r w:rsidRPr="00F13333">
        <w:rPr>
          <w:rFonts w:ascii="微软雅黑" w:eastAsia="微软雅黑" w:hAnsi="微软雅黑"/>
          <w:color w:val="365F91" w:themeColor="accent1" w:themeShade="BF"/>
          <w:szCs w:val="21"/>
        </w:rPr>
        <w:t>3702.57</w:t>
      </w:r>
      <w:r w:rsidRPr="00F13333">
        <w:rPr>
          <w:rFonts w:ascii="微软雅黑" w:eastAsia="微软雅黑" w:hAnsi="微软雅黑" w:hint="eastAsia"/>
          <w:color w:val="365F91" w:themeColor="accent1" w:themeShade="BF"/>
          <w:szCs w:val="21"/>
        </w:rPr>
        <w:t>平；苏州C25：</w:t>
      </w:r>
      <w:r w:rsidRPr="00F13333">
        <w:rPr>
          <w:rFonts w:ascii="微软雅黑" w:eastAsia="微软雅黑" w:hAnsi="微软雅黑"/>
          <w:color w:val="365F91" w:themeColor="accent1" w:themeShade="BF"/>
          <w:szCs w:val="21"/>
        </w:rPr>
        <w:t>16835.76</w:t>
      </w:r>
      <w:r w:rsidRPr="00F13333">
        <w:rPr>
          <w:rFonts w:ascii="微软雅黑" w:eastAsia="微软雅黑" w:hAnsi="微软雅黑" w:hint="eastAsia"/>
          <w:color w:val="365F91" w:themeColor="accent1" w:themeShade="BF"/>
          <w:szCs w:val="21"/>
        </w:rPr>
        <w:t>平；</w:t>
      </w:r>
    </w:p>
    <w:p w:rsidR="005358C7" w:rsidRPr="00F13333" w:rsidRDefault="005358C7" w:rsidP="005358C7">
      <w:pPr>
        <w:rPr>
          <w:rFonts w:ascii="微软雅黑" w:eastAsia="微软雅黑" w:hAnsi="微软雅黑"/>
          <w:color w:val="365F91" w:themeColor="accent1" w:themeShade="BF"/>
          <w:szCs w:val="21"/>
        </w:rPr>
      </w:pPr>
      <w:r w:rsidRPr="00F13333">
        <w:rPr>
          <w:rFonts w:ascii="微软雅黑" w:eastAsia="微软雅黑" w:hAnsi="微软雅黑" w:hint="eastAsia"/>
          <w:color w:val="365F91" w:themeColor="accent1" w:themeShade="BF"/>
          <w:szCs w:val="21"/>
        </w:rPr>
        <w:t xml:space="preserve">             西安仓：10000平；</w:t>
      </w:r>
    </w:p>
    <w:p w:rsidR="005358C7" w:rsidRPr="00F13333" w:rsidRDefault="005358C7" w:rsidP="005358C7">
      <w:pPr>
        <w:rPr>
          <w:rFonts w:ascii="微软雅黑" w:eastAsia="微软雅黑" w:hAnsi="微软雅黑"/>
          <w:color w:val="365F91" w:themeColor="accent1" w:themeShade="BF"/>
          <w:szCs w:val="21"/>
        </w:rPr>
      </w:pPr>
      <w:r w:rsidRPr="00F13333">
        <w:rPr>
          <w:rFonts w:ascii="微软雅黑" w:eastAsia="微软雅黑" w:hAnsi="微软雅黑" w:hint="eastAsia"/>
          <w:color w:val="365F91" w:themeColor="accent1" w:themeShade="BF"/>
          <w:szCs w:val="21"/>
        </w:rPr>
        <w:t>2）其他仓库资源：</w:t>
      </w:r>
    </w:p>
    <w:p w:rsidR="005358C7" w:rsidRDefault="005358C7" w:rsidP="005358C7">
      <w:pPr>
        <w:rPr>
          <w:rFonts w:ascii="微软雅黑" w:eastAsia="微软雅黑" w:hAnsi="微软雅黑" w:hint="eastAsia"/>
        </w:rPr>
      </w:pPr>
      <w:r w:rsidRPr="005358C7">
        <w:rPr>
          <w:rFonts w:ascii="微软雅黑" w:eastAsia="微软雅黑" w:hAnsi="微软雅黑"/>
        </w:rPr>
        <w:drawing>
          <wp:inline distT="0" distB="0" distL="0" distR="0">
            <wp:extent cx="4927600" cy="3784600"/>
            <wp:effectExtent l="0" t="0" r="6350" b="0"/>
            <wp:docPr id="18" name="对象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05800" cy="6278562"/>
                      <a:chOff x="-76200" y="350838"/>
                      <a:chExt cx="8305800" cy="6278562"/>
                    </a:xfrm>
                  </a:grpSpPr>
                  <a:sp>
                    <a:nvSpPr>
                      <a:cNvPr id="38914" name="Rectangle 2"/>
                      <a:cNvSpPr>
                        <a:spLocks noChangeArrowheads="1"/>
                      </a:cNvSpPr>
                    </a:nvSpPr>
                    <a:spPr bwMode="ltGray">
                      <a:xfrm>
                        <a:off x="5486400" y="3505200"/>
                        <a:ext cx="2743200" cy="12192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680268"/>
                          </a:gs>
                          <a:gs pos="100000">
                            <a:srgbClr val="8F038F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zh-CN" altLang="en-US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-76200" y="350838"/>
                        <a:ext cx="8229600" cy="8683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altLang="zh-CN" sz="2400" dirty="0">
                              <a:solidFill>
                                <a:schemeClr val="bg1"/>
                              </a:solidFill>
                              <a:latin typeface="Verdana" pitchFamily="34" charset="0"/>
                              <a:ea typeface="宋体" charset="-122"/>
                            </a:rPr>
                            <a:t>Part5-2 </a:t>
                          </a:r>
                          <a:r>
                            <a:rPr lang="zh-CN" altLang="en-US" sz="2400" dirty="0">
                              <a:solidFill>
                                <a:schemeClr val="bg1"/>
                              </a:solidFill>
                              <a:latin typeface="Verdana" pitchFamily="34" charset="0"/>
                              <a:ea typeface="宋体" charset="-122"/>
                            </a:rPr>
                            <a:t>持续改进，精益求精</a:t>
                          </a:r>
                          <a:r>
                            <a:rPr lang="en-US" altLang="zh-CN" sz="2400" dirty="0">
                              <a:solidFill>
                                <a:schemeClr val="bg1"/>
                              </a:solidFill>
                              <a:latin typeface="Verdana" pitchFamily="34" charset="0"/>
                              <a:ea typeface="宋体" charset="-122"/>
                            </a:rPr>
                            <a:t>——CNY</a:t>
                          </a:r>
                          <a:r>
                            <a:rPr lang="zh-CN" altLang="en-US" sz="2400" dirty="0">
                              <a:solidFill>
                                <a:schemeClr val="bg1"/>
                              </a:solidFill>
                              <a:latin typeface="Verdana" pitchFamily="34" charset="0"/>
                              <a:ea typeface="宋体" charset="-122"/>
                            </a:rPr>
                            <a:t>准备</a:t>
                          </a:r>
                          <a:r>
                            <a:rPr lang="zh-CN" altLang="en-US" sz="3200" dirty="0">
                              <a:solidFill>
                                <a:schemeClr val="bg1"/>
                              </a:solidFill>
                              <a:latin typeface="Verdana" pitchFamily="34" charset="0"/>
                              <a:ea typeface="宋体" charset="-122"/>
                            </a:rPr>
                            <a:t/>
                          </a:r>
                          <a:br>
                            <a:rPr lang="zh-CN" altLang="en-US" sz="3200" dirty="0">
                              <a:solidFill>
                                <a:schemeClr val="bg1"/>
                              </a:solidFill>
                              <a:latin typeface="Verdana" pitchFamily="34" charset="0"/>
                              <a:ea typeface="宋体" charset="-122"/>
                            </a:rPr>
                          </a:br>
                          <a:endParaRPr lang="en-US" altLang="zh-CN" sz="3200" spc="-125" dirty="0">
                            <a:ln w="3175">
                              <a:noFill/>
                            </a:ln>
                            <a:latin typeface="+mj-lt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AutoShape 4"/>
                      <a:cNvSpPr>
                        <a:spLocks noChangeArrowheads="1"/>
                      </a:cNvSpPr>
                    </a:nvSpPr>
                    <a:spPr bwMode="gray">
                      <a:xfrm>
                        <a:off x="2819400" y="1295400"/>
                        <a:ext cx="2390775" cy="5651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rgbClr val="DFDFDF"/>
                          </a:gs>
                          <a:gs pos="50000">
                            <a:srgbClr val="DFDFDF">
                              <a:gamma/>
                              <a:tint val="24314"/>
                              <a:invGamma/>
                            </a:srgbClr>
                          </a:gs>
                          <a:gs pos="100000">
                            <a:srgbClr val="DFDFDF"/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ffectLst>
                        <a:outerShdw dist="53882" dir="2700000" algn="ctr" rotWithShape="0">
                          <a:srgbClr val="292929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zh-CN" altLang="en-US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AutoShape 5"/>
                      <a:cNvSpPr>
                        <a:spLocks noChangeArrowheads="1"/>
                      </a:cNvSpPr>
                    </a:nvSpPr>
                    <a:spPr bwMode="gray">
                      <a:xfrm>
                        <a:off x="5562600" y="1295400"/>
                        <a:ext cx="2390775" cy="5651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rgbClr val="DFDFDF"/>
                          </a:gs>
                          <a:gs pos="50000">
                            <a:srgbClr val="DFDFDF">
                              <a:gamma/>
                              <a:tint val="24314"/>
                              <a:invGamma/>
                            </a:srgbClr>
                          </a:gs>
                          <a:gs pos="100000">
                            <a:srgbClr val="DFDFDF"/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ffectLst>
                        <a:outerShdw dist="53882" dir="2700000" algn="ctr" rotWithShape="0">
                          <a:srgbClr val="292929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zh-CN" altLang="en-US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18" name="Rectangle 6"/>
                      <a:cNvSpPr>
                        <a:spLocks noChangeArrowheads="1"/>
                      </a:cNvSpPr>
                    </a:nvSpPr>
                    <a:spPr bwMode="ltGray">
                      <a:xfrm>
                        <a:off x="2667000" y="3657600"/>
                        <a:ext cx="2667000" cy="12192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B037B"/>
                          </a:gs>
                          <a:gs pos="100000">
                            <a:srgbClr val="8F038F"/>
                          </a:gs>
                        </a:gsLst>
                        <a:lin ang="0" scaled="1"/>
                      </a:gradFill>
                      <a:ln w="9525">
                        <a:miter lim="800000"/>
                        <a:headEnd/>
                        <a:tailEnd/>
                      </a:ln>
                      <a:scene3d>
                        <a:camera prst="legacyObliqueTopRight"/>
                        <a:lightRig rig="legacyFlat3" dir="b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rgbClr val="8F038F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zh-CN" altLang="en-US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38919" name="Group 11"/>
                      <a:cNvGrpSpPr>
                        <a:grpSpLocks/>
                      </a:cNvGrpSpPr>
                    </a:nvGrpSpPr>
                    <a:grpSpPr bwMode="auto">
                      <a:xfrm>
                        <a:off x="838200" y="3657600"/>
                        <a:ext cx="1825625" cy="1143000"/>
                        <a:chOff x="4397" y="1430"/>
                        <a:chExt cx="1005" cy="960"/>
                      </a:xfrm>
                    </a:grpSpPr>
                    <a:sp>
                      <a:nvSpPr>
                        <a:cNvPr id="38940" name="AutoShape 12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397" y="1430"/>
                          <a:ext cx="1005" cy="960"/>
                        </a:xfrm>
                        <a:prstGeom prst="homePlate">
                          <a:avLst>
                            <a:gd name="adj" fmla="val 26172"/>
                          </a:avLst>
                        </a:prstGeom>
                        <a:gradFill rotWithShape="1">
                          <a:gsLst>
                            <a:gs pos="0">
                              <a:srgbClr val="8D9498"/>
                            </a:gs>
                            <a:gs pos="50000">
                              <a:srgbClr val="D5E0E5"/>
                            </a:gs>
                            <a:gs pos="100000">
                              <a:srgbClr val="8D9498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76858A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941" name="AutoShape 1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07" y="1440"/>
                          <a:ext cx="979" cy="934"/>
                        </a:xfrm>
                        <a:prstGeom prst="homePlate">
                          <a:avLst>
                            <a:gd name="adj" fmla="val 26180"/>
                          </a:avLst>
                        </a:prstGeom>
                        <a:gradFill rotWithShape="1">
                          <a:gsLst>
                            <a:gs pos="0">
                              <a:srgbClr val="8D9498"/>
                            </a:gs>
                            <a:gs pos="50000">
                              <a:srgbClr val="D5E0E5"/>
                            </a:gs>
                            <a:gs pos="100000">
                              <a:srgbClr val="8D9498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3" name="Rectangle 15"/>
                      <a:cNvSpPr>
                        <a:spLocks noChangeArrowheads="1"/>
                      </a:cNvSpPr>
                    </a:nvSpPr>
                    <a:spPr bwMode="gray">
                      <a:xfrm>
                        <a:off x="762000" y="4038600"/>
                        <a:ext cx="1836738" cy="70802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FFFFFF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zh-CN" altLang="en-US" sz="2000" b="1" dirty="0">
                              <a:solidFill>
                                <a:srgbClr val="333333"/>
                              </a:solidFill>
                            </a:rPr>
                            <a:t>设备</a:t>
                          </a:r>
                          <a:endParaRPr lang="en-US" altLang="zh-CN" sz="2000" b="1" dirty="0">
                            <a:solidFill>
                              <a:srgbClr val="333333"/>
                            </a:solidFill>
                          </a:endParaRPr>
                        </a:p>
                        <a:p>
                          <a:pPr algn="ctr" eaLnBrk="0" hangingPunct="0">
                            <a:defRPr/>
                          </a:pPr>
                          <a:endParaRPr lang="en-US" altLang="zh-CN" sz="2000" b="1" dirty="0">
                            <a:solidFill>
                              <a:srgbClr val="3333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7"/>
                      <a:cNvSpPr>
                        <a:spLocks noChangeArrowheads="1"/>
                      </a:cNvSpPr>
                    </a:nvSpPr>
                    <a:spPr bwMode="gray">
                      <a:xfrm>
                        <a:off x="2971800" y="1371600"/>
                        <a:ext cx="2246313" cy="45720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FFFFFF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zh-CN" altLang="en-US" sz="2400" b="1" dirty="0" smtClean="0">
                              <a:solidFill>
                                <a:srgbClr val="92D050"/>
                              </a:solidFill>
                            </a:rPr>
                            <a:t>淡季</a:t>
                          </a:r>
                          <a:endParaRPr lang="en-US" altLang="zh-CN" sz="2400" b="1" dirty="0">
                            <a:solidFill>
                              <a:srgbClr val="92D05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18"/>
                      <a:cNvSpPr>
                        <a:spLocks noChangeArrowheads="1"/>
                      </a:cNvSpPr>
                    </a:nvSpPr>
                    <a:spPr bwMode="gray">
                      <a:xfrm>
                        <a:off x="5715000" y="1371600"/>
                        <a:ext cx="2246313" cy="45720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FFFFFF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zh-CN" altLang="en-US" sz="2400" b="1" dirty="0">
                              <a:solidFill>
                                <a:srgbClr val="92D050"/>
                              </a:solidFill>
                            </a:rPr>
                            <a:t>旺季</a:t>
                          </a:r>
                          <a:endParaRPr lang="en-US" altLang="zh-CN" sz="2400" b="1" dirty="0">
                            <a:solidFill>
                              <a:srgbClr val="92D05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23" name="Text Box 22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2667000" y="3733800"/>
                        <a:ext cx="2543175" cy="954088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上海： 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36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部电动；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30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部手动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 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苏州：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 25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部电动；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28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部手动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 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西安：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5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部电动；    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13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部手动</a:t>
                          </a: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24" name="Text Box 22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2743200" y="2362200"/>
                        <a:ext cx="2590800" cy="30797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25" name="Text Box 22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5562600" y="3581400"/>
                        <a:ext cx="2390775" cy="160020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上海：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38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部电动；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31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部手动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 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苏州：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27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部电动；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30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部手动</a:t>
                          </a: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西安：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7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部电动；  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13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部手动</a:t>
                          </a: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26" name="Rectangle 2"/>
                      <a:cNvSpPr>
                        <a:spLocks noChangeArrowheads="1"/>
                      </a:cNvSpPr>
                    </a:nvSpPr>
                    <a:spPr bwMode="ltGray">
                      <a:xfrm>
                        <a:off x="5486400" y="4953000"/>
                        <a:ext cx="2743200" cy="12192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680268"/>
                          </a:gs>
                          <a:gs pos="100000">
                            <a:srgbClr val="8F038F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zh-CN" altLang="en-US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" name="Rectangle 6"/>
                      <a:cNvSpPr>
                        <a:spLocks noChangeArrowheads="1"/>
                      </a:cNvSpPr>
                    </a:nvSpPr>
                    <a:spPr bwMode="ltGray">
                      <a:xfrm>
                        <a:off x="2667000" y="5105400"/>
                        <a:ext cx="2667000" cy="12192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B037B"/>
                          </a:gs>
                          <a:gs pos="100000">
                            <a:srgbClr val="8F038F"/>
                          </a:gs>
                        </a:gsLst>
                        <a:lin ang="0" scaled="1"/>
                      </a:gradFill>
                      <a:ln w="9525"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  <a:scene3d>
                        <a:camera prst="legacyObliqueTopRight"/>
                        <a:lightRig rig="legacyFlat3" dir="b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rgbClr val="8F038F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zh-CN" altLang="en-US" sz="1400" b="1" dirty="0">
                              <a:solidFill>
                                <a:srgbClr val="EAEAEA"/>
                              </a:solidFill>
                              <a:ea typeface="宋体" charset="-122"/>
                            </a:rPr>
                            <a:t>上海：</a:t>
                          </a:r>
                          <a:r>
                            <a:rPr lang="en-US" altLang="zh-CN" sz="1400" b="1" dirty="0">
                              <a:solidFill>
                                <a:srgbClr val="EAEAEA"/>
                              </a:solidFill>
                              <a:ea typeface="宋体" charset="-122"/>
                            </a:rPr>
                            <a:t> 33000</a:t>
                          </a:r>
                          <a:r>
                            <a:rPr lang="zh-CN" altLang="en-US" sz="1400" b="1" dirty="0">
                              <a:solidFill>
                                <a:srgbClr val="EAEAEA"/>
                              </a:solidFill>
                              <a:ea typeface="宋体" charset="-122"/>
                            </a:rPr>
                            <a:t>块</a:t>
                          </a:r>
                          <a:endParaRPr lang="en-US" altLang="zh-CN" sz="1400" b="1" dirty="0">
                            <a:solidFill>
                              <a:srgbClr val="EAEAEA"/>
                            </a:solidFill>
                            <a:ea typeface="宋体" charset="-122"/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zh-CN" altLang="en-US" sz="1400" b="1" dirty="0">
                              <a:solidFill>
                                <a:srgbClr val="EAEAEA"/>
                              </a:solidFill>
                              <a:ea typeface="宋体" charset="-122"/>
                            </a:rPr>
                            <a:t>苏州：</a:t>
                          </a:r>
                          <a:r>
                            <a:rPr lang="en-US" altLang="zh-CN" sz="1400" b="1" dirty="0">
                              <a:solidFill>
                                <a:srgbClr val="EAEAEA"/>
                              </a:solidFill>
                              <a:ea typeface="宋体" charset="-122"/>
                            </a:rPr>
                            <a:t>20000</a:t>
                          </a:r>
                          <a:r>
                            <a:rPr lang="zh-CN" altLang="en-US" sz="1400" b="1" dirty="0">
                              <a:solidFill>
                                <a:srgbClr val="EAEAEA"/>
                              </a:solidFill>
                              <a:ea typeface="宋体" charset="-122"/>
                            </a:rPr>
                            <a:t>块</a:t>
                          </a:r>
                          <a:endParaRPr lang="en-US" altLang="zh-CN" sz="1400" b="1" dirty="0">
                            <a:solidFill>
                              <a:srgbClr val="EAEAEA"/>
                            </a:solidFill>
                            <a:ea typeface="宋体" charset="-122"/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zh-CN" altLang="en-US" sz="1400" b="1" dirty="0">
                              <a:solidFill>
                                <a:srgbClr val="EAEAEA"/>
                              </a:solidFill>
                              <a:ea typeface="宋体" charset="-122"/>
                            </a:rPr>
                            <a:t>西安：</a:t>
                          </a:r>
                          <a:r>
                            <a:rPr lang="en-US" altLang="zh-CN" sz="1400" b="1" dirty="0">
                              <a:solidFill>
                                <a:srgbClr val="EAEAEA"/>
                              </a:solidFill>
                              <a:ea typeface="宋体" charset="-122"/>
                            </a:rPr>
                            <a:t>8000</a:t>
                          </a:r>
                          <a:r>
                            <a:rPr lang="zh-CN" altLang="en-US" sz="1400" b="1" dirty="0">
                              <a:solidFill>
                                <a:srgbClr val="EAEAEA"/>
                              </a:solidFill>
                              <a:ea typeface="宋体" charset="-122"/>
                            </a:rPr>
                            <a:t>块</a:t>
                          </a:r>
                        </a:p>
                      </a:txBody>
                      <a:useSpRect/>
                    </a:txSp>
                  </a:sp>
                  <a:grpSp>
                    <a:nvGrpSpPr>
                      <a:cNvPr id="38928" name="Group 11"/>
                      <a:cNvGrpSpPr>
                        <a:grpSpLocks/>
                      </a:cNvGrpSpPr>
                    </a:nvGrpSpPr>
                    <a:grpSpPr bwMode="auto">
                      <a:xfrm>
                        <a:off x="838200" y="5105400"/>
                        <a:ext cx="1825625" cy="1143000"/>
                        <a:chOff x="4397" y="1430"/>
                        <a:chExt cx="1005" cy="960"/>
                      </a:xfrm>
                    </a:grpSpPr>
                    <a:sp>
                      <a:nvSpPr>
                        <a:cNvPr id="38938" name="AutoShape 12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397" y="1430"/>
                          <a:ext cx="1005" cy="960"/>
                        </a:xfrm>
                        <a:prstGeom prst="homePlate">
                          <a:avLst>
                            <a:gd name="adj" fmla="val 26172"/>
                          </a:avLst>
                        </a:prstGeom>
                        <a:gradFill rotWithShape="1">
                          <a:gsLst>
                            <a:gs pos="0">
                              <a:srgbClr val="8D9498"/>
                            </a:gs>
                            <a:gs pos="50000">
                              <a:srgbClr val="D5E0E5"/>
                            </a:gs>
                            <a:gs pos="100000">
                              <a:srgbClr val="8D9498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76858A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939" name="AutoShape 1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07" y="1440"/>
                          <a:ext cx="979" cy="934"/>
                        </a:xfrm>
                        <a:prstGeom prst="homePlate">
                          <a:avLst>
                            <a:gd name="adj" fmla="val 26180"/>
                          </a:avLst>
                        </a:prstGeom>
                        <a:gradFill rotWithShape="1">
                          <a:gsLst>
                            <a:gs pos="0">
                              <a:srgbClr val="8D9498"/>
                            </a:gs>
                            <a:gs pos="50000">
                              <a:srgbClr val="D5E0E5"/>
                            </a:gs>
                            <a:gs pos="100000">
                              <a:srgbClr val="8D9498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38929" name="Text Box 22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5562600" y="5029200"/>
                        <a:ext cx="2390775" cy="160020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上海：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 38000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块</a:t>
                          </a: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苏州： 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25000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块</a:t>
                          </a: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西安： 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12000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块</a:t>
                          </a: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30" name="Rectangle 2"/>
                      <a:cNvSpPr>
                        <a:spLocks noChangeArrowheads="1"/>
                      </a:cNvSpPr>
                    </a:nvSpPr>
                    <a:spPr bwMode="ltGray">
                      <a:xfrm>
                        <a:off x="5486400" y="2057400"/>
                        <a:ext cx="2743200" cy="12192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680268"/>
                          </a:gs>
                          <a:gs pos="100000">
                            <a:srgbClr val="8F038F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上海：内部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80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人；外协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65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人；</a:t>
                          </a: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苏州：内部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69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人；外协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45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人；</a:t>
                          </a: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西安：内部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38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人；外协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12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人；</a:t>
                          </a: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31" name="Rectangle 6"/>
                      <a:cNvSpPr>
                        <a:spLocks noChangeArrowheads="1"/>
                      </a:cNvSpPr>
                    </a:nvSpPr>
                    <a:spPr bwMode="ltGray">
                      <a:xfrm>
                        <a:off x="2667000" y="2209800"/>
                        <a:ext cx="2667000" cy="12192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B037B"/>
                          </a:gs>
                          <a:gs pos="100000">
                            <a:srgbClr val="8F038F"/>
                          </a:gs>
                        </a:gsLst>
                        <a:lin ang="0" scaled="1"/>
                      </a:gradFill>
                      <a:ln w="9525">
                        <a:miter lim="800000"/>
                        <a:headEnd/>
                        <a:tailEnd/>
                      </a:ln>
                      <a:scene3d>
                        <a:camera prst="legacyObliqueTopRight"/>
                        <a:lightRig rig="legacyFlat3" dir="b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rgbClr val="8F038F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上海：内部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72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人；外协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56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人；</a:t>
                          </a: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苏州：内部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64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人；外协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40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人；</a:t>
                          </a: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西安：内部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35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人；外协</a:t>
                          </a:r>
                          <a:r>
                            <a:rPr lang="en-US" altLang="zh-CN" sz="1400" b="1">
                              <a:solidFill>
                                <a:srgbClr val="EAEAEA"/>
                              </a:solidFill>
                            </a:rPr>
                            <a:t>8</a:t>
                          </a:r>
                          <a:r>
                            <a:rPr lang="zh-CN" altLang="en-US" sz="1400" b="1">
                              <a:solidFill>
                                <a:srgbClr val="EAEAEA"/>
                              </a:solidFill>
                            </a:rPr>
                            <a:t>人；</a:t>
                          </a: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38932" name="Group 11"/>
                      <a:cNvGrpSpPr>
                        <a:grpSpLocks/>
                      </a:cNvGrpSpPr>
                    </a:nvGrpSpPr>
                    <a:grpSpPr bwMode="auto">
                      <a:xfrm>
                        <a:off x="838200" y="2209800"/>
                        <a:ext cx="1825625" cy="1143000"/>
                        <a:chOff x="4397" y="1430"/>
                        <a:chExt cx="1005" cy="960"/>
                      </a:xfrm>
                    </a:grpSpPr>
                    <a:sp>
                      <a:nvSpPr>
                        <a:cNvPr id="38936" name="AutoShape 12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397" y="1430"/>
                          <a:ext cx="1005" cy="960"/>
                        </a:xfrm>
                        <a:prstGeom prst="homePlate">
                          <a:avLst>
                            <a:gd name="adj" fmla="val 26172"/>
                          </a:avLst>
                        </a:prstGeom>
                        <a:gradFill rotWithShape="1">
                          <a:gsLst>
                            <a:gs pos="0">
                              <a:srgbClr val="8D9498"/>
                            </a:gs>
                            <a:gs pos="50000">
                              <a:srgbClr val="D5E0E5"/>
                            </a:gs>
                            <a:gs pos="100000">
                              <a:srgbClr val="8D9498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76858A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937" name="AutoShape 1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07" y="1440"/>
                          <a:ext cx="979" cy="934"/>
                        </a:xfrm>
                        <a:prstGeom prst="homePlate">
                          <a:avLst>
                            <a:gd name="adj" fmla="val 26180"/>
                          </a:avLst>
                        </a:prstGeom>
                        <a:gradFill rotWithShape="1">
                          <a:gsLst>
                            <a:gs pos="0">
                              <a:srgbClr val="8D9498"/>
                            </a:gs>
                            <a:gs pos="50000">
                              <a:srgbClr val="D5E0E5"/>
                            </a:gs>
                            <a:gs pos="100000">
                              <a:srgbClr val="8D9498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38933" name="Text Box 22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5715000" y="2209800"/>
                        <a:ext cx="2390775" cy="630238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en-US" altLang="zh-CN" sz="1400" b="1">
                            <a:solidFill>
                              <a:srgbClr val="EAEAEA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34" name="TextBox 3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14400" y="2590800"/>
                        <a:ext cx="15240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zh-CN" altLang="en-US" sz="2000" b="1">
                              <a:solidFill>
                                <a:srgbClr val="333333"/>
                              </a:solidFill>
                            </a:rPr>
                            <a:t>人员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2" name="Rectangle 15"/>
                      <a:cNvSpPr>
                        <a:spLocks noChangeArrowheads="1"/>
                      </a:cNvSpPr>
                    </a:nvSpPr>
                    <a:spPr bwMode="gray">
                      <a:xfrm>
                        <a:off x="762000" y="5387975"/>
                        <a:ext cx="1836738" cy="70802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FFFFFF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zh-CN" altLang="en-US" sz="2000" b="1" dirty="0">
                              <a:solidFill>
                                <a:srgbClr val="333333"/>
                              </a:solidFill>
                            </a:rPr>
                            <a:t>托盘</a:t>
                          </a:r>
                          <a:endParaRPr lang="en-US" altLang="zh-CN" sz="2000" b="1" dirty="0">
                            <a:solidFill>
                              <a:srgbClr val="333333"/>
                            </a:solidFill>
                          </a:endParaRPr>
                        </a:p>
                        <a:p>
                          <a:pPr algn="ctr" eaLnBrk="0" hangingPunct="0">
                            <a:defRPr/>
                          </a:pPr>
                          <a:endParaRPr lang="en-US" altLang="zh-CN" sz="2000" b="1" dirty="0">
                            <a:solidFill>
                              <a:srgbClr val="333333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358C7" w:rsidRDefault="005358C7" w:rsidP="005358C7">
      <w:pPr>
        <w:rPr>
          <w:rFonts w:ascii="微软雅黑" w:eastAsia="微软雅黑" w:hAnsi="微软雅黑" w:hint="eastAsia"/>
        </w:rPr>
      </w:pPr>
    </w:p>
    <w:p w:rsidR="005358C7" w:rsidRDefault="005358C7" w:rsidP="005358C7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业务殊荣</w:t>
      </w:r>
    </w:p>
    <w:p w:rsidR="005358C7" w:rsidRDefault="005358C7" w:rsidP="005358C7">
      <w:pPr>
        <w:rPr>
          <w:rFonts w:ascii="微软雅黑" w:eastAsia="微软雅黑" w:hAnsi="微软雅黑" w:hint="eastAsia"/>
          <w:color w:val="365F91" w:themeColor="accent1" w:themeShade="BF"/>
          <w:szCs w:val="21"/>
        </w:rPr>
      </w:pPr>
      <w:r w:rsidRPr="005E31C9">
        <w:rPr>
          <w:rFonts w:ascii="微软雅黑" w:eastAsia="微软雅黑" w:hAnsi="微软雅黑" w:hint="eastAsia"/>
          <w:color w:val="365F91" w:themeColor="accent1" w:themeShade="BF"/>
          <w:szCs w:val="21"/>
        </w:rPr>
        <w:t>2010年底奥利奥冬季装co-pack，上海RDC完成时间最短，零误差</w:t>
      </w:r>
    </w:p>
    <w:p w:rsidR="005358C7" w:rsidRPr="00E267B7" w:rsidRDefault="005358C7" w:rsidP="005358C7">
      <w:pPr>
        <w:ind w:left="36"/>
        <w:rPr>
          <w:rFonts w:ascii="微软雅黑" w:eastAsia="微软雅黑" w:hAnsi="微软雅黑"/>
          <w:b/>
        </w:rPr>
      </w:pPr>
      <w:r w:rsidRPr="00E267B7">
        <w:rPr>
          <w:rFonts w:ascii="微软雅黑" w:eastAsia="微软雅黑" w:hAnsi="微软雅黑" w:hint="eastAsia"/>
          <w:b/>
        </w:rPr>
        <w:t>服务宗旨</w:t>
      </w:r>
    </w:p>
    <w:p w:rsidR="005358C7" w:rsidRDefault="005358C7" w:rsidP="005358C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1~2句话；</w:t>
      </w:r>
    </w:p>
    <w:p w:rsidR="005358C7" w:rsidRDefault="005358C7" w:rsidP="005358C7">
      <w:pPr>
        <w:rPr>
          <w:rFonts w:ascii="微软雅黑" w:eastAsia="微软雅黑" w:hAnsi="微软雅黑" w:hint="eastAsia"/>
          <w:color w:val="365F91" w:themeColor="accent1" w:themeShade="BF"/>
          <w:szCs w:val="21"/>
        </w:rPr>
      </w:pPr>
      <w:r w:rsidRPr="005E31C9">
        <w:rPr>
          <w:rFonts w:ascii="微软雅黑" w:eastAsia="微软雅黑" w:hAnsi="微软雅黑" w:hint="eastAsia"/>
          <w:color w:val="365F91" w:themeColor="accent1" w:themeShade="BF"/>
          <w:szCs w:val="21"/>
        </w:rPr>
        <w:t>急客户之所急，一切以客户为中心，提供优质服务</w:t>
      </w:r>
    </w:p>
    <w:p w:rsidR="005358C7" w:rsidRDefault="005358C7" w:rsidP="005358C7">
      <w:pPr>
        <w:rPr>
          <w:rFonts w:ascii="微软雅黑" w:eastAsia="微软雅黑" w:hAnsi="微软雅黑" w:hint="eastAsia"/>
          <w:color w:val="365F91" w:themeColor="accent1" w:themeShade="BF"/>
          <w:szCs w:val="21"/>
        </w:rPr>
      </w:pPr>
    </w:p>
    <w:p w:rsidR="005358C7" w:rsidRPr="00A11388" w:rsidRDefault="005358C7" w:rsidP="005358C7">
      <w:pPr>
        <w:rPr>
          <w:rFonts w:ascii="微软雅黑" w:eastAsia="微软雅黑" w:hAnsi="微软雅黑"/>
          <w:szCs w:val="21"/>
        </w:rPr>
      </w:pPr>
      <w:r w:rsidRPr="00A11388">
        <w:rPr>
          <w:rFonts w:ascii="微软雅黑" w:eastAsia="微软雅黑" w:hAnsi="微软雅黑" w:hint="eastAsia"/>
          <w:b/>
          <w:szCs w:val="21"/>
        </w:rPr>
        <w:t>我理解的企业文化</w:t>
      </w:r>
      <w:r>
        <w:rPr>
          <w:rFonts w:ascii="微软雅黑" w:eastAsia="微软雅黑" w:hAnsi="微软雅黑" w:hint="eastAsia"/>
          <w:b/>
          <w:szCs w:val="21"/>
        </w:rPr>
        <w:t>、物流精神-</w:t>
      </w:r>
      <w:r w:rsidRPr="00A11388">
        <w:rPr>
          <w:rFonts w:ascii="微软雅黑" w:eastAsia="微软雅黑" w:hAnsi="微软雅黑"/>
          <w:szCs w:val="21"/>
        </w:rPr>
        <w:t xml:space="preserve"> </w:t>
      </w:r>
    </w:p>
    <w:p w:rsidR="005358C7" w:rsidRPr="005358C7" w:rsidRDefault="005358C7" w:rsidP="005358C7">
      <w:pPr>
        <w:rPr>
          <w:rFonts w:ascii="微软雅黑" w:eastAsia="微软雅黑" w:hAnsi="微软雅黑"/>
        </w:rPr>
      </w:pPr>
      <w:r w:rsidRPr="004F3401">
        <w:rPr>
          <w:rFonts w:ascii="微软雅黑" w:eastAsia="微软雅黑" w:hAnsi="微软雅黑" w:hint="eastAsia"/>
          <w:color w:val="365F91" w:themeColor="accent1" w:themeShade="BF"/>
          <w:szCs w:val="21"/>
        </w:rPr>
        <w:t>中国外运一向秉承以“</w:t>
      </w:r>
      <w:r>
        <w:rPr>
          <w:rFonts w:ascii="微软雅黑" w:eastAsia="微软雅黑" w:hAnsi="微软雅黑" w:hint="eastAsia"/>
          <w:color w:val="365F91" w:themeColor="accent1" w:themeShade="BF"/>
          <w:szCs w:val="21"/>
        </w:rPr>
        <w:t>永远感激客户</w:t>
      </w:r>
      <w:r w:rsidRPr="004F3401">
        <w:rPr>
          <w:rFonts w:ascii="微软雅黑" w:eastAsia="微软雅黑" w:hAnsi="微软雅黑" w:hint="eastAsia"/>
          <w:color w:val="365F91" w:themeColor="accent1" w:themeShade="BF"/>
          <w:szCs w:val="21"/>
        </w:rPr>
        <w:t>““服务创造价值”的</w:t>
      </w:r>
      <w:r>
        <w:rPr>
          <w:rFonts w:ascii="微软雅黑" w:eastAsia="微软雅黑" w:hAnsi="微软雅黑" w:hint="eastAsia"/>
          <w:color w:val="365F91" w:themeColor="accent1" w:themeShade="BF"/>
          <w:szCs w:val="21"/>
        </w:rPr>
        <w:t>一切以客户为中心的</w:t>
      </w:r>
      <w:r w:rsidRPr="004F3401">
        <w:rPr>
          <w:rFonts w:ascii="微软雅黑" w:eastAsia="微软雅黑" w:hAnsi="微软雅黑" w:hint="eastAsia"/>
          <w:color w:val="365F91" w:themeColor="accent1" w:themeShade="BF"/>
          <w:szCs w:val="21"/>
        </w:rPr>
        <w:t>服务理念为</w:t>
      </w:r>
      <w:r w:rsidRPr="004F3401">
        <w:rPr>
          <w:rFonts w:ascii="微软雅黑" w:eastAsia="微软雅黑" w:hAnsi="微软雅黑" w:hint="eastAsia"/>
          <w:color w:val="365F91" w:themeColor="accent1" w:themeShade="BF"/>
          <w:szCs w:val="21"/>
        </w:rPr>
        <w:lastRenderedPageBreak/>
        <w:t>客户服务，急客户之所急，为客户排忧解难</w:t>
      </w:r>
      <w:r>
        <w:rPr>
          <w:rFonts w:ascii="微软雅黑" w:eastAsia="微软雅黑" w:hAnsi="微软雅黑" w:hint="eastAsia"/>
          <w:color w:val="365F91" w:themeColor="accent1" w:themeShade="BF"/>
          <w:szCs w:val="21"/>
        </w:rPr>
        <w:t>；外运的经理人秉承“</w:t>
      </w:r>
      <w:r w:rsidRPr="001C1B49">
        <w:rPr>
          <w:rFonts w:ascii="微软雅黑" w:eastAsia="微软雅黑" w:hAnsi="微软雅黑" w:hint="eastAsia"/>
          <w:color w:val="365F91" w:themeColor="accent1" w:themeShade="BF"/>
          <w:szCs w:val="21"/>
        </w:rPr>
        <w:t>智、信、仁、勇、严”</w:t>
      </w:r>
      <w:r>
        <w:rPr>
          <w:rFonts w:ascii="微软雅黑" w:eastAsia="微软雅黑" w:hAnsi="微软雅黑" w:hint="eastAsia"/>
          <w:color w:val="365F91" w:themeColor="accent1" w:themeShade="BF"/>
          <w:szCs w:val="21"/>
        </w:rPr>
        <w:t>的理念管理团队，以“霹雳手段，显菩萨心肠“，用心为外运培养一代又一代人才。外运的员工们秉承“</w:t>
      </w:r>
      <w:r w:rsidRPr="001C1B49">
        <w:rPr>
          <w:rFonts w:ascii="微软雅黑" w:eastAsia="微软雅黑" w:hAnsi="微软雅黑" w:hint="eastAsia"/>
          <w:color w:val="365F91" w:themeColor="accent1" w:themeShade="BF"/>
          <w:szCs w:val="21"/>
        </w:rPr>
        <w:t>乐于革新与贡献</w:t>
      </w:r>
      <w:r w:rsidRPr="001C1B49">
        <w:rPr>
          <w:rFonts w:ascii="微软雅黑" w:eastAsia="微软雅黑" w:hAnsi="微软雅黑"/>
          <w:color w:val="365F91" w:themeColor="accent1" w:themeShade="BF"/>
          <w:szCs w:val="21"/>
        </w:rPr>
        <w:t>”</w:t>
      </w:r>
      <w:r>
        <w:rPr>
          <w:rFonts w:ascii="微软雅黑" w:eastAsia="微软雅黑" w:hAnsi="微软雅黑" w:hint="eastAsia"/>
          <w:color w:val="365F91" w:themeColor="accent1" w:themeShade="BF"/>
          <w:szCs w:val="21"/>
        </w:rPr>
        <w:t>的理念，尽心竭力为客户服务，为外运创造价值。</w:t>
      </w:r>
    </w:p>
    <w:p w:rsidR="00B5138E" w:rsidRPr="00B5138E" w:rsidRDefault="00B5138E">
      <w:pPr>
        <w:rPr>
          <w:rFonts w:ascii="微软雅黑" w:eastAsia="微软雅黑" w:hAnsi="微软雅黑"/>
          <w:b/>
          <w:sz w:val="24"/>
          <w:szCs w:val="24"/>
        </w:rPr>
      </w:pPr>
    </w:p>
    <w:p w:rsidR="00B5138E" w:rsidRPr="00B5138E" w:rsidRDefault="00B5138E">
      <w:pPr>
        <w:rPr>
          <w:rFonts w:ascii="微软雅黑" w:eastAsia="微软雅黑" w:hAnsi="微软雅黑"/>
          <w:b/>
          <w:sz w:val="24"/>
          <w:szCs w:val="24"/>
        </w:rPr>
      </w:pPr>
    </w:p>
    <w:p w:rsidR="008C1DF6" w:rsidRDefault="00D75193">
      <w:pPr>
        <w:rPr>
          <w:rFonts w:ascii="微软雅黑" w:eastAsia="微软雅黑" w:hAnsi="微软雅黑"/>
          <w:b/>
          <w:sz w:val="24"/>
          <w:szCs w:val="24"/>
        </w:rPr>
      </w:pPr>
      <w:r w:rsidRPr="00D75193">
        <w:rPr>
          <w:rFonts w:ascii="微软雅黑" w:eastAsia="微软雅黑" w:hAnsi="微软雅黑"/>
          <w:b/>
          <w:noProof/>
          <w:sz w:val="24"/>
          <w:szCs w:val="24"/>
        </w:rPr>
        <w:drawing>
          <wp:inline distT="0" distB="0" distL="0" distR="0">
            <wp:extent cx="5274310" cy="3518038"/>
            <wp:effectExtent l="19050" t="0" r="2540" b="0"/>
            <wp:docPr id="5" name="图片 5" descr="IMG_6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内容占位符 4" descr="IMG_6746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193">
        <w:rPr>
          <w:rFonts w:ascii="微软雅黑" w:eastAsia="微软雅黑" w:hAnsi="微软雅黑"/>
          <w:b/>
          <w:noProof/>
          <w:sz w:val="24"/>
          <w:szCs w:val="24"/>
        </w:rPr>
        <w:lastRenderedPageBreak/>
        <w:drawing>
          <wp:inline distT="0" distB="0" distL="0" distR="0">
            <wp:extent cx="5274310" cy="3695700"/>
            <wp:effectExtent l="19050" t="0" r="2540" b="0"/>
            <wp:docPr id="4" name="图片 4" descr="C:\Documents and Settings\Administrator\Application Data\Tencent\Users\54908840\QQ\WinTemp\RichOle\U9GPXR`8OBVJ34A1$`9C{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C:\Documents and Settings\Administrator\Application Data\Tencent\Users\54908840\QQ\WinTemp\RichOle\U9GPXR`8OBVJ34A1$`9C{OU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63" w:rsidRDefault="00240963">
      <w:pPr>
        <w:rPr>
          <w:rFonts w:ascii="微软雅黑" w:eastAsia="微软雅黑" w:hAnsi="微软雅黑"/>
          <w:b/>
          <w:sz w:val="24"/>
          <w:szCs w:val="24"/>
        </w:rPr>
      </w:pPr>
    </w:p>
    <w:p w:rsidR="00240963" w:rsidRDefault="00240963">
      <w:pPr>
        <w:rPr>
          <w:rFonts w:ascii="微软雅黑" w:eastAsia="微软雅黑" w:hAnsi="微软雅黑"/>
          <w:b/>
          <w:sz w:val="24"/>
          <w:szCs w:val="24"/>
        </w:rPr>
      </w:pPr>
    </w:p>
    <w:p w:rsidR="00D75193" w:rsidRDefault="00D75193">
      <w:pPr>
        <w:rPr>
          <w:rFonts w:ascii="微软雅黑" w:eastAsia="微软雅黑" w:hAnsi="微软雅黑"/>
          <w:b/>
          <w:sz w:val="24"/>
          <w:szCs w:val="24"/>
        </w:rPr>
      </w:pPr>
      <w:r w:rsidRPr="00D75193">
        <w:rPr>
          <w:rFonts w:ascii="微软雅黑" w:eastAsia="微软雅黑" w:hAnsi="微软雅黑"/>
          <w:b/>
          <w:noProof/>
          <w:sz w:val="24"/>
          <w:szCs w:val="24"/>
        </w:rPr>
        <w:drawing>
          <wp:inline distT="0" distB="0" distL="0" distR="0">
            <wp:extent cx="5274310" cy="3518038"/>
            <wp:effectExtent l="19050" t="0" r="2540" b="0"/>
            <wp:docPr id="6" name="图片 6" descr="IMG_6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内容占位符 4" descr="IMG_6805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97" w:rsidRDefault="00C15297">
      <w:pPr>
        <w:rPr>
          <w:rFonts w:ascii="微软雅黑" w:eastAsia="微软雅黑" w:hAnsi="微软雅黑"/>
          <w:b/>
          <w:sz w:val="24"/>
          <w:szCs w:val="24"/>
        </w:rPr>
      </w:pPr>
    </w:p>
    <w:p w:rsidR="00C15297" w:rsidRDefault="00C15297">
      <w:pPr>
        <w:rPr>
          <w:rFonts w:ascii="微软雅黑" w:eastAsia="微软雅黑" w:hAnsi="微软雅黑"/>
          <w:b/>
          <w:sz w:val="24"/>
          <w:szCs w:val="24"/>
        </w:rPr>
      </w:pPr>
      <w:r w:rsidRPr="00C15297">
        <w:rPr>
          <w:rFonts w:ascii="微软雅黑" w:eastAsia="微软雅黑" w:hAnsi="微软雅黑"/>
          <w:b/>
          <w:noProof/>
          <w:sz w:val="24"/>
          <w:szCs w:val="24"/>
        </w:rPr>
        <w:lastRenderedPageBreak/>
        <w:drawing>
          <wp:inline distT="0" distB="0" distL="0" distR="0">
            <wp:extent cx="3570817" cy="2400300"/>
            <wp:effectExtent l="19050" t="0" r="0" b="0"/>
            <wp:docPr id="11" name="图片 10" descr="DSCF03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图片 2" descr="DSCF0390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17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97" w:rsidRDefault="00C15297">
      <w:pPr>
        <w:rPr>
          <w:rFonts w:ascii="微软雅黑" w:eastAsia="微软雅黑" w:hAnsi="微软雅黑"/>
          <w:b/>
          <w:sz w:val="24"/>
          <w:szCs w:val="24"/>
        </w:rPr>
      </w:pPr>
      <w:r w:rsidRPr="00C15297">
        <w:rPr>
          <w:rFonts w:ascii="微软雅黑" w:eastAsia="微软雅黑" w:hAnsi="微软雅黑"/>
          <w:b/>
          <w:noProof/>
          <w:sz w:val="24"/>
          <w:szCs w:val="24"/>
        </w:rPr>
        <w:drawing>
          <wp:inline distT="0" distB="0" distL="0" distR="0">
            <wp:extent cx="3663950" cy="2379134"/>
            <wp:effectExtent l="19050" t="0" r="0" b="0"/>
            <wp:docPr id="12" name="图片 11" descr="DSCF06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图片 9" descr="DSCF0668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6" cy="238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63" w:rsidRDefault="00240963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/>
          <w:b/>
          <w:noProof/>
          <w:sz w:val="24"/>
          <w:szCs w:val="24"/>
        </w:rPr>
        <w:drawing>
          <wp:inline distT="0" distB="0" distL="0" distR="0">
            <wp:extent cx="4583430" cy="2628900"/>
            <wp:effectExtent l="19050" t="0" r="7620" b="0"/>
            <wp:docPr id="9" name="图片 1" descr="C:\Documents and Settings\Administrator\桌面\2013CNY卡夫\重包装照片\DSC0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2013CNY卡夫\重包装照片\DSC01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30" cy="26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63" w:rsidRDefault="00240963">
      <w:pPr>
        <w:rPr>
          <w:rFonts w:ascii="微软雅黑" w:eastAsia="微软雅黑" w:hAnsi="微软雅黑"/>
          <w:b/>
          <w:sz w:val="24"/>
          <w:szCs w:val="24"/>
        </w:rPr>
      </w:pPr>
      <w:r w:rsidRPr="00240963">
        <w:rPr>
          <w:rFonts w:ascii="微软雅黑" w:eastAsia="微软雅黑" w:hAnsi="微软雅黑"/>
          <w:b/>
          <w:noProof/>
          <w:sz w:val="24"/>
          <w:szCs w:val="24"/>
        </w:rPr>
        <w:lastRenderedPageBreak/>
        <w:drawing>
          <wp:inline distT="0" distB="0" distL="0" distR="0">
            <wp:extent cx="4850130" cy="2992990"/>
            <wp:effectExtent l="19050" t="0" r="7620" b="0"/>
            <wp:docPr id="8" name="图片 7" descr="IMG_0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0506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662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97" w:rsidRPr="00B5138E" w:rsidRDefault="00C15297">
      <w:pPr>
        <w:rPr>
          <w:rFonts w:ascii="微软雅黑" w:eastAsia="微软雅黑" w:hAnsi="微软雅黑"/>
          <w:b/>
          <w:sz w:val="24"/>
          <w:szCs w:val="24"/>
        </w:rPr>
      </w:pPr>
      <w:r w:rsidRPr="00C15297">
        <w:rPr>
          <w:rFonts w:ascii="微软雅黑" w:eastAsia="微软雅黑" w:hAnsi="微软雅黑"/>
          <w:b/>
          <w:noProof/>
          <w:sz w:val="24"/>
          <w:szCs w:val="24"/>
        </w:rPr>
        <w:drawing>
          <wp:inline distT="0" distB="0" distL="0" distR="0">
            <wp:extent cx="4850130" cy="2720340"/>
            <wp:effectExtent l="19050" t="0" r="7620" b="0"/>
            <wp:docPr id="1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18" cy="272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297" w:rsidRPr="00B5138E" w:rsidSect="00F94D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F17" w:rsidRDefault="00007F17" w:rsidP="00E267B7">
      <w:r>
        <w:separator/>
      </w:r>
    </w:p>
  </w:endnote>
  <w:endnote w:type="continuationSeparator" w:id="1">
    <w:p w:rsidR="00007F17" w:rsidRDefault="00007F17" w:rsidP="00E267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F17" w:rsidRDefault="00007F17" w:rsidP="00E267B7">
      <w:r>
        <w:separator/>
      </w:r>
    </w:p>
  </w:footnote>
  <w:footnote w:type="continuationSeparator" w:id="1">
    <w:p w:rsidR="00007F17" w:rsidRDefault="00007F17" w:rsidP="00E267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527FA"/>
    <w:multiLevelType w:val="hybridMultilevel"/>
    <w:tmpl w:val="DAF6D340"/>
    <w:lvl w:ilvl="0" w:tplc="DECCF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C2EE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4BE0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73D66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1D743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9604B1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9A94BB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781AD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81CA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">
    <w:nsid w:val="0E905AF0"/>
    <w:multiLevelType w:val="hybridMultilevel"/>
    <w:tmpl w:val="E7CC037C"/>
    <w:lvl w:ilvl="0" w:tplc="208866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36CD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783D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862C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C086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263B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9AB4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428E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96BA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11766E"/>
    <w:multiLevelType w:val="hybridMultilevel"/>
    <w:tmpl w:val="58DE9D46"/>
    <w:lvl w:ilvl="0" w:tplc="11AAE4EC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8DA12">
      <w:start w:val="1"/>
      <w:numFmt w:val="bullet"/>
      <w:lvlText w:val="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2C8498" w:tentative="1">
      <w:start w:val="1"/>
      <w:numFmt w:val="bullet"/>
      <w:lvlText w:val="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C25594" w:tentative="1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826BFE" w:tentative="1">
      <w:start w:val="1"/>
      <w:numFmt w:val="bullet"/>
      <w:lvlText w:val="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F28166" w:tentative="1">
      <w:start w:val="1"/>
      <w:numFmt w:val="bullet"/>
      <w:lvlText w:val="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A5234" w:tentative="1">
      <w:start w:val="1"/>
      <w:numFmt w:val="bullet"/>
      <w:lvlText w:val="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7AF20A" w:tentative="1">
      <w:start w:val="1"/>
      <w:numFmt w:val="bullet"/>
      <w:lvlText w:val="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04D2B4" w:tentative="1">
      <w:start w:val="1"/>
      <w:numFmt w:val="bullet"/>
      <w:lvlText w:val="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A37AD"/>
    <w:multiLevelType w:val="hybridMultilevel"/>
    <w:tmpl w:val="70B2FC2C"/>
    <w:lvl w:ilvl="0" w:tplc="B5F85DF4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A61C64">
      <w:start w:val="1"/>
      <w:numFmt w:val="bullet"/>
      <w:lvlText w:val="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22ED7C" w:tentative="1">
      <w:start w:val="1"/>
      <w:numFmt w:val="bullet"/>
      <w:lvlText w:val="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4627F0" w:tentative="1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A29F3A" w:tentative="1">
      <w:start w:val="1"/>
      <w:numFmt w:val="bullet"/>
      <w:lvlText w:val="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D09880" w:tentative="1">
      <w:start w:val="1"/>
      <w:numFmt w:val="bullet"/>
      <w:lvlText w:val="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FC3A70" w:tentative="1">
      <w:start w:val="1"/>
      <w:numFmt w:val="bullet"/>
      <w:lvlText w:val="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423506" w:tentative="1">
      <w:start w:val="1"/>
      <w:numFmt w:val="bullet"/>
      <w:lvlText w:val="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ECB7A6" w:tentative="1">
      <w:start w:val="1"/>
      <w:numFmt w:val="bullet"/>
      <w:lvlText w:val="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554984"/>
    <w:multiLevelType w:val="hybridMultilevel"/>
    <w:tmpl w:val="20106C9E"/>
    <w:lvl w:ilvl="0" w:tplc="455666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2E6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0600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5AD2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7686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DE81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021C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A047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0475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57162B"/>
    <w:multiLevelType w:val="hybridMultilevel"/>
    <w:tmpl w:val="23108F64"/>
    <w:lvl w:ilvl="0" w:tplc="6B2040FC">
      <w:start w:val="1"/>
      <w:numFmt w:val="bullet"/>
      <w:lvlText w:val=""/>
      <w:lvlJc w:val="left"/>
      <w:pPr>
        <w:ind w:left="119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1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3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1" w:hanging="420"/>
      </w:pPr>
      <w:rPr>
        <w:rFonts w:ascii="Wingdings" w:hAnsi="Wingdings" w:hint="default"/>
      </w:rPr>
    </w:lvl>
  </w:abstractNum>
  <w:abstractNum w:abstractNumId="6">
    <w:nsid w:val="285B787F"/>
    <w:multiLevelType w:val="hybridMultilevel"/>
    <w:tmpl w:val="E19234A0"/>
    <w:lvl w:ilvl="0" w:tplc="6A6A04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7C89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722D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4278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BE6A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262C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D481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8A6E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A0CF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2D5A90"/>
    <w:multiLevelType w:val="hybridMultilevel"/>
    <w:tmpl w:val="F3D844F8"/>
    <w:lvl w:ilvl="0" w:tplc="6B2040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D44276">
      <w:start w:val="237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D8B1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941B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2CD6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E2DD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6A8D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A888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F0EA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02708F"/>
    <w:multiLevelType w:val="hybridMultilevel"/>
    <w:tmpl w:val="EDE85F6C"/>
    <w:lvl w:ilvl="0" w:tplc="0E0C4A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F094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88DC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7820D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BC40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D6A5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485A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E456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1097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CF3180"/>
    <w:multiLevelType w:val="hybridMultilevel"/>
    <w:tmpl w:val="7D8015EC"/>
    <w:lvl w:ilvl="0" w:tplc="49688960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3E041C">
      <w:start w:val="1"/>
      <w:numFmt w:val="bullet"/>
      <w:lvlText w:val="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84DA86" w:tentative="1">
      <w:start w:val="1"/>
      <w:numFmt w:val="bullet"/>
      <w:lvlText w:val="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E27F72" w:tentative="1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B24A3C" w:tentative="1">
      <w:start w:val="1"/>
      <w:numFmt w:val="bullet"/>
      <w:lvlText w:val="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702626" w:tentative="1">
      <w:start w:val="1"/>
      <w:numFmt w:val="bullet"/>
      <w:lvlText w:val="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B88F84" w:tentative="1">
      <w:start w:val="1"/>
      <w:numFmt w:val="bullet"/>
      <w:lvlText w:val="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90646C" w:tentative="1">
      <w:start w:val="1"/>
      <w:numFmt w:val="bullet"/>
      <w:lvlText w:val="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0AB21A" w:tentative="1">
      <w:start w:val="1"/>
      <w:numFmt w:val="bullet"/>
      <w:lvlText w:val="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F900E0"/>
    <w:multiLevelType w:val="hybridMultilevel"/>
    <w:tmpl w:val="7C1E04D0"/>
    <w:lvl w:ilvl="0" w:tplc="DAFED078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C4BFD8">
      <w:start w:val="1"/>
      <w:numFmt w:val="bullet"/>
      <w:lvlText w:val="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20A120" w:tentative="1">
      <w:start w:val="1"/>
      <w:numFmt w:val="bullet"/>
      <w:lvlText w:val="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B80CC0" w:tentative="1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747156" w:tentative="1">
      <w:start w:val="1"/>
      <w:numFmt w:val="bullet"/>
      <w:lvlText w:val="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78B92A" w:tentative="1">
      <w:start w:val="1"/>
      <w:numFmt w:val="bullet"/>
      <w:lvlText w:val="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EAD404" w:tentative="1">
      <w:start w:val="1"/>
      <w:numFmt w:val="bullet"/>
      <w:lvlText w:val="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A653DE" w:tentative="1">
      <w:start w:val="1"/>
      <w:numFmt w:val="bullet"/>
      <w:lvlText w:val="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B82B66" w:tentative="1">
      <w:start w:val="1"/>
      <w:numFmt w:val="bullet"/>
      <w:lvlText w:val="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64A7DCD"/>
    <w:multiLevelType w:val="hybridMultilevel"/>
    <w:tmpl w:val="0C36D8C6"/>
    <w:lvl w:ilvl="0" w:tplc="DECE17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24C0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98906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73AF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151AC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A6EAF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1D06B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F129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B7E6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2">
    <w:nsid w:val="66551B27"/>
    <w:multiLevelType w:val="hybridMultilevel"/>
    <w:tmpl w:val="EDE64902"/>
    <w:lvl w:ilvl="0" w:tplc="DCB2400E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7225CA5"/>
    <w:multiLevelType w:val="hybridMultilevel"/>
    <w:tmpl w:val="D67A8582"/>
    <w:lvl w:ilvl="0" w:tplc="5EB830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961F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0AD2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68EE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1675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6C40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BCB8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E81C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0212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AD23BC"/>
    <w:multiLevelType w:val="hybridMultilevel"/>
    <w:tmpl w:val="CE66CD70"/>
    <w:lvl w:ilvl="0" w:tplc="70365F48">
      <w:start w:val="1"/>
      <w:numFmt w:val="japaneseCounting"/>
      <w:lvlText w:val="%1、"/>
      <w:lvlJc w:val="left"/>
      <w:pPr>
        <w:ind w:left="516" w:hanging="48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76" w:hanging="420"/>
      </w:pPr>
    </w:lvl>
    <w:lvl w:ilvl="2" w:tplc="0409001B" w:tentative="1">
      <w:start w:val="1"/>
      <w:numFmt w:val="lowerRoman"/>
      <w:lvlText w:val="%3."/>
      <w:lvlJc w:val="right"/>
      <w:pPr>
        <w:ind w:left="1296" w:hanging="420"/>
      </w:pPr>
    </w:lvl>
    <w:lvl w:ilvl="3" w:tplc="0409000F" w:tentative="1">
      <w:start w:val="1"/>
      <w:numFmt w:val="decimal"/>
      <w:lvlText w:val="%4."/>
      <w:lvlJc w:val="left"/>
      <w:pPr>
        <w:ind w:left="1716" w:hanging="420"/>
      </w:pPr>
    </w:lvl>
    <w:lvl w:ilvl="4" w:tplc="04090019" w:tentative="1">
      <w:start w:val="1"/>
      <w:numFmt w:val="lowerLetter"/>
      <w:lvlText w:val="%5)"/>
      <w:lvlJc w:val="left"/>
      <w:pPr>
        <w:ind w:left="2136" w:hanging="420"/>
      </w:pPr>
    </w:lvl>
    <w:lvl w:ilvl="5" w:tplc="0409001B" w:tentative="1">
      <w:start w:val="1"/>
      <w:numFmt w:val="lowerRoman"/>
      <w:lvlText w:val="%6."/>
      <w:lvlJc w:val="right"/>
      <w:pPr>
        <w:ind w:left="2556" w:hanging="420"/>
      </w:pPr>
    </w:lvl>
    <w:lvl w:ilvl="6" w:tplc="0409000F" w:tentative="1">
      <w:start w:val="1"/>
      <w:numFmt w:val="decimal"/>
      <w:lvlText w:val="%7."/>
      <w:lvlJc w:val="left"/>
      <w:pPr>
        <w:ind w:left="2976" w:hanging="420"/>
      </w:pPr>
    </w:lvl>
    <w:lvl w:ilvl="7" w:tplc="04090019" w:tentative="1">
      <w:start w:val="1"/>
      <w:numFmt w:val="lowerLetter"/>
      <w:lvlText w:val="%8)"/>
      <w:lvlJc w:val="left"/>
      <w:pPr>
        <w:ind w:left="3396" w:hanging="420"/>
      </w:pPr>
    </w:lvl>
    <w:lvl w:ilvl="8" w:tplc="0409001B" w:tentative="1">
      <w:start w:val="1"/>
      <w:numFmt w:val="lowerRoman"/>
      <w:lvlText w:val="%9."/>
      <w:lvlJc w:val="right"/>
      <w:pPr>
        <w:ind w:left="3816" w:hanging="420"/>
      </w:pPr>
    </w:lvl>
  </w:abstractNum>
  <w:num w:numId="1">
    <w:abstractNumId w:val="7"/>
  </w:num>
  <w:num w:numId="2">
    <w:abstractNumId w:val="14"/>
  </w:num>
  <w:num w:numId="3">
    <w:abstractNumId w:val="2"/>
  </w:num>
  <w:num w:numId="4">
    <w:abstractNumId w:val="9"/>
  </w:num>
  <w:num w:numId="5">
    <w:abstractNumId w:val="3"/>
  </w:num>
  <w:num w:numId="6">
    <w:abstractNumId w:val="10"/>
  </w:num>
  <w:num w:numId="7">
    <w:abstractNumId w:val="0"/>
  </w:num>
  <w:num w:numId="8">
    <w:abstractNumId w:val="11"/>
  </w:num>
  <w:num w:numId="9">
    <w:abstractNumId w:val="12"/>
  </w:num>
  <w:num w:numId="10">
    <w:abstractNumId w:val="1"/>
  </w:num>
  <w:num w:numId="11">
    <w:abstractNumId w:val="13"/>
  </w:num>
  <w:num w:numId="12">
    <w:abstractNumId w:val="6"/>
  </w:num>
  <w:num w:numId="13">
    <w:abstractNumId w:val="4"/>
  </w:num>
  <w:num w:numId="14">
    <w:abstractNumId w:val="5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67B7"/>
    <w:rsid w:val="00007F17"/>
    <w:rsid w:val="00072D85"/>
    <w:rsid w:val="000937E9"/>
    <w:rsid w:val="00093FF4"/>
    <w:rsid w:val="0013118A"/>
    <w:rsid w:val="0018539C"/>
    <w:rsid w:val="001C1B49"/>
    <w:rsid w:val="00205B8C"/>
    <w:rsid w:val="00240963"/>
    <w:rsid w:val="00295333"/>
    <w:rsid w:val="002C1F7E"/>
    <w:rsid w:val="002C2701"/>
    <w:rsid w:val="00325DCA"/>
    <w:rsid w:val="00345785"/>
    <w:rsid w:val="00373792"/>
    <w:rsid w:val="00375CDD"/>
    <w:rsid w:val="003F3A92"/>
    <w:rsid w:val="004247BD"/>
    <w:rsid w:val="00424CE9"/>
    <w:rsid w:val="00424FBF"/>
    <w:rsid w:val="00475409"/>
    <w:rsid w:val="004F04A9"/>
    <w:rsid w:val="004F3401"/>
    <w:rsid w:val="005044A5"/>
    <w:rsid w:val="005358C7"/>
    <w:rsid w:val="00556E2F"/>
    <w:rsid w:val="00561506"/>
    <w:rsid w:val="005725F8"/>
    <w:rsid w:val="00576376"/>
    <w:rsid w:val="00596A9D"/>
    <w:rsid w:val="005E31C9"/>
    <w:rsid w:val="005F143C"/>
    <w:rsid w:val="006023D1"/>
    <w:rsid w:val="00610AE0"/>
    <w:rsid w:val="00650661"/>
    <w:rsid w:val="00653123"/>
    <w:rsid w:val="0065581F"/>
    <w:rsid w:val="00663169"/>
    <w:rsid w:val="006F4F56"/>
    <w:rsid w:val="0070271E"/>
    <w:rsid w:val="00716277"/>
    <w:rsid w:val="00766C7E"/>
    <w:rsid w:val="00773FCB"/>
    <w:rsid w:val="00787F8E"/>
    <w:rsid w:val="00820790"/>
    <w:rsid w:val="00843E2F"/>
    <w:rsid w:val="00856AC9"/>
    <w:rsid w:val="008C1DF6"/>
    <w:rsid w:val="009951C3"/>
    <w:rsid w:val="009A0486"/>
    <w:rsid w:val="009B01CE"/>
    <w:rsid w:val="00A00F0F"/>
    <w:rsid w:val="00A04660"/>
    <w:rsid w:val="00A11388"/>
    <w:rsid w:val="00A44FF8"/>
    <w:rsid w:val="00A82075"/>
    <w:rsid w:val="00B47A2E"/>
    <w:rsid w:val="00B5138E"/>
    <w:rsid w:val="00B707F6"/>
    <w:rsid w:val="00B72F8C"/>
    <w:rsid w:val="00BA7BE6"/>
    <w:rsid w:val="00C15297"/>
    <w:rsid w:val="00C454F4"/>
    <w:rsid w:val="00D24549"/>
    <w:rsid w:val="00D4175B"/>
    <w:rsid w:val="00D42262"/>
    <w:rsid w:val="00D75193"/>
    <w:rsid w:val="00DB275D"/>
    <w:rsid w:val="00DE0AE4"/>
    <w:rsid w:val="00E1175E"/>
    <w:rsid w:val="00E267B7"/>
    <w:rsid w:val="00E405EA"/>
    <w:rsid w:val="00E81494"/>
    <w:rsid w:val="00EA2311"/>
    <w:rsid w:val="00F01C8C"/>
    <w:rsid w:val="00F13333"/>
    <w:rsid w:val="00F35C33"/>
    <w:rsid w:val="00F44A45"/>
    <w:rsid w:val="00F94D9B"/>
    <w:rsid w:val="00FE4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D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267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267B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267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267B7"/>
    <w:rPr>
      <w:sz w:val="18"/>
      <w:szCs w:val="18"/>
    </w:rPr>
  </w:style>
  <w:style w:type="paragraph" w:styleId="a5">
    <w:name w:val="List Paragraph"/>
    <w:basedOn w:val="a"/>
    <w:uiPriority w:val="34"/>
    <w:qFormat/>
    <w:rsid w:val="00D24549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Normal (Web)"/>
    <w:basedOn w:val="a"/>
    <w:uiPriority w:val="99"/>
    <w:unhideWhenUsed/>
    <w:rsid w:val="003457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B72F8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72F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27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28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04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47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64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9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0469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779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7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0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2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180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39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794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964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284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1486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11437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308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3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441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18898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istrator\&#26700;&#38754;\2012&#21345;&#22827;&#24635;&#32467;\&#36816;&#20316;&#25968;&#2545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Program%20Files\Tencent\QQ\Users\267240206\FileRecv\&#36816;&#20316;&#25968;&#25454;v.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Program%20Files\Tencent\QQ\Users\267240206\FileRecv\&#36816;&#20316;&#25968;&#25454;v.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年别!$A$3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layout>
                <c:manualLayout>
                  <c:x val="-2.4169180457029163E-2"/>
                  <c:y val="4.6620063733665085E-3"/>
                </c:manualLayout>
              </c:layout>
              <c:showVal val="1"/>
            </c:dLbl>
            <c:dLbl>
              <c:idx val="1"/>
              <c:layout>
                <c:manualLayout>
                  <c:x val="-1.61127869713527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-1.8538385826771663E-2"/>
                  <c:y val="-1.1654935178557261E-2"/>
                </c:manualLayout>
              </c:layout>
              <c:showVal val="1"/>
            </c:dLbl>
            <c:showVal val="1"/>
          </c:dLbls>
          <c:cat>
            <c:strRef>
              <c:f>年别!$B$2:$D$2</c:f>
              <c:strCache>
                <c:ptCount val="3"/>
                <c:pt idx="0">
                  <c:v>库存量（月均）</c:v>
                </c:pt>
                <c:pt idx="1">
                  <c:v>出库总量</c:v>
                </c:pt>
                <c:pt idx="2">
                  <c:v>入库总量</c:v>
                </c:pt>
              </c:strCache>
            </c:strRef>
          </c:cat>
          <c:val>
            <c:numRef>
              <c:f>年别!$B$3:$D$3</c:f>
              <c:numCache>
                <c:formatCode>General</c:formatCode>
                <c:ptCount val="3"/>
                <c:pt idx="0" formatCode="0.00_ ">
                  <c:v>1097482</c:v>
                </c:pt>
                <c:pt idx="1">
                  <c:v>775880.07</c:v>
                </c:pt>
                <c:pt idx="2" formatCode="0.00_ ">
                  <c:v>779384.53</c:v>
                </c:pt>
              </c:numCache>
            </c:numRef>
          </c:val>
        </c:ser>
        <c:ser>
          <c:idx val="1"/>
          <c:order val="1"/>
          <c:tx>
            <c:strRef>
              <c:f>年别!$A$4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3F7FBF"/>
            </a:solidFill>
          </c:spPr>
          <c:dLbls>
            <c:dLbl>
              <c:idx val="0"/>
              <c:layout>
                <c:manualLayout>
                  <c:x val="-2.0140983714190875E-3"/>
                  <c:y val="-2.3310031866832528E-2"/>
                </c:manualLayout>
              </c:layout>
              <c:showVal val="1"/>
            </c:dLbl>
            <c:dLbl>
              <c:idx val="1"/>
              <c:layout>
                <c:manualLayout>
                  <c:x val="1.0070491857095439E-2"/>
                  <c:y val="-1.3986019120099519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2.0202020202020211E-2"/>
                </c:manualLayout>
              </c:layout>
              <c:showVal val="1"/>
            </c:dLbl>
            <c:showVal val="1"/>
          </c:dLbls>
          <c:cat>
            <c:strRef>
              <c:f>年别!$B$2:$D$2</c:f>
              <c:strCache>
                <c:ptCount val="3"/>
                <c:pt idx="0">
                  <c:v>库存量（月均）</c:v>
                </c:pt>
                <c:pt idx="1">
                  <c:v>出库总量</c:v>
                </c:pt>
                <c:pt idx="2">
                  <c:v>入库总量</c:v>
                </c:pt>
              </c:strCache>
            </c:strRef>
          </c:cat>
          <c:val>
            <c:numRef>
              <c:f>年别!$B$4:$D$4</c:f>
              <c:numCache>
                <c:formatCode>0.00_ </c:formatCode>
                <c:ptCount val="3"/>
                <c:pt idx="0">
                  <c:v>1131813.03</c:v>
                </c:pt>
                <c:pt idx="1">
                  <c:v>888181.9</c:v>
                </c:pt>
                <c:pt idx="2">
                  <c:v>878754.52</c:v>
                </c:pt>
              </c:numCache>
            </c:numRef>
          </c:val>
        </c:ser>
        <c:ser>
          <c:idx val="2"/>
          <c:order val="2"/>
          <c:tx>
            <c:strRef>
              <c:f>年别!$A$5</c:f>
              <c:strCache>
                <c:ptCount val="1"/>
                <c:pt idx="0">
                  <c:v>201201-07</c:v>
                </c:pt>
              </c:strCache>
            </c:strRef>
          </c:tx>
          <c:spPr>
            <a:solidFill>
              <a:srgbClr val="FF00FF"/>
            </a:solidFill>
          </c:spPr>
          <c:dLbls>
            <c:dLbl>
              <c:idx val="0"/>
              <c:layout>
                <c:manualLayout>
                  <c:x val="3.0622981021603195E-2"/>
                  <c:y val="-1.0878072059174418E-2"/>
                </c:manualLayout>
              </c:layout>
              <c:showVal val="1"/>
            </c:dLbl>
            <c:dLbl>
              <c:idx val="1"/>
              <c:layout>
                <c:manualLayout>
                  <c:x val="3.8267869056962681E-2"/>
                  <c:y val="-1.8648025493466197E-2"/>
                </c:manualLayout>
              </c:layout>
              <c:showVal val="1"/>
            </c:dLbl>
            <c:dLbl>
              <c:idx val="2"/>
              <c:layout>
                <c:manualLayout>
                  <c:x val="4.4310140318998832E-2"/>
                  <c:y val="-6.2162968265330829E-3"/>
                </c:manualLayout>
              </c:layout>
              <c:showVal val="1"/>
            </c:dLbl>
            <c:showVal val="1"/>
          </c:dLbls>
          <c:cat>
            <c:strRef>
              <c:f>年别!$B$2:$D$2</c:f>
              <c:strCache>
                <c:ptCount val="3"/>
                <c:pt idx="0">
                  <c:v>库存量（月均）</c:v>
                </c:pt>
                <c:pt idx="1">
                  <c:v>出库总量</c:v>
                </c:pt>
                <c:pt idx="2">
                  <c:v>入库总量</c:v>
                </c:pt>
              </c:strCache>
            </c:strRef>
          </c:cat>
          <c:val>
            <c:numRef>
              <c:f>年别!$B$5:$D$5</c:f>
              <c:numCache>
                <c:formatCode>0.00_ </c:formatCode>
                <c:ptCount val="3"/>
                <c:pt idx="0">
                  <c:v>1091811.9825081441</c:v>
                </c:pt>
                <c:pt idx="1">
                  <c:v>808998.36101710389</c:v>
                </c:pt>
                <c:pt idx="2">
                  <c:v>787251.97771409899</c:v>
                </c:pt>
              </c:numCache>
            </c:numRef>
          </c:val>
        </c:ser>
        <c:shape val="cylinder"/>
        <c:axId val="322658304"/>
        <c:axId val="322659840"/>
        <c:axId val="0"/>
      </c:bar3DChart>
      <c:catAx>
        <c:axId val="322658304"/>
        <c:scaling>
          <c:orientation val="minMax"/>
        </c:scaling>
        <c:axPos val="b"/>
        <c:tickLblPos val="nextTo"/>
        <c:crossAx val="322659840"/>
        <c:crosses val="autoZero"/>
        <c:auto val="1"/>
        <c:lblAlgn val="ctr"/>
        <c:lblOffset val="100"/>
      </c:catAx>
      <c:valAx>
        <c:axId val="322659840"/>
        <c:scaling>
          <c:orientation val="minMax"/>
        </c:scaling>
        <c:axPos val="l"/>
        <c:majorGridlines/>
        <c:numFmt formatCode="0.00_ " sourceLinked="1"/>
        <c:tickLblPos val="nextTo"/>
        <c:crossAx val="3226583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100"/>
            </a:pPr>
            <a:r>
              <a:rPr lang="zh-CN" altLang="en-US" sz="1100" b="0" dirty="0"/>
              <a:t>最高产能（箱</a:t>
            </a:r>
            <a:r>
              <a:rPr lang="en-US" altLang="zh-CN" sz="1100" b="0" dirty="0"/>
              <a:t>/</a:t>
            </a:r>
            <a:r>
              <a:rPr lang="zh-CN" altLang="en-US" sz="1100" b="0" dirty="0"/>
              <a:t>日）</a:t>
            </a:r>
          </a:p>
        </c:rich>
      </c:tx>
      <c:layout>
        <c:manualLayout>
          <c:xMode val="edge"/>
          <c:yMode val="edge"/>
          <c:x val="0.33750582233558946"/>
          <c:y val="6.666666666666668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重包装!$G$4</c:f>
              <c:strCache>
                <c:ptCount val="1"/>
                <c:pt idx="0">
                  <c:v>最高产能</c:v>
                </c:pt>
              </c:strCache>
            </c:strRef>
          </c:tx>
          <c:spPr>
            <a:ln>
              <a:solidFill>
                <a:srgbClr val="CC0000"/>
              </a:solidFill>
            </a:ln>
          </c:spPr>
          <c:marker>
            <c:spPr>
              <a:ln>
                <a:solidFill>
                  <a:srgbClr val="CC0000"/>
                </a:solidFill>
              </a:ln>
            </c:spPr>
          </c:marker>
          <c:dLbls>
            <c:dLbl>
              <c:idx val="0"/>
              <c:layout>
                <c:manualLayout>
                  <c:x val="-5.0291486451517514E-2"/>
                  <c:y val="-0.10301774778152757"/>
                </c:manualLayout>
              </c:layout>
              <c:showVal val="1"/>
            </c:dLbl>
            <c:dLbl>
              <c:idx val="1"/>
              <c:layout>
                <c:manualLayout>
                  <c:x val="-9.2544962169650316E-2"/>
                  <c:y val="-6.6006600660066E-2"/>
                </c:manualLayout>
              </c:layout>
              <c:showVal val="1"/>
            </c:dLbl>
            <c:dLbl>
              <c:idx val="2"/>
              <c:layout>
                <c:manualLayout>
                  <c:x val="-7.8834597403775103E-2"/>
                  <c:y val="-5.9405940594059396E-2"/>
                </c:manualLayout>
              </c:layout>
              <c:showVal val="1"/>
            </c:dLbl>
            <c:showVal val="1"/>
          </c:dLbls>
          <c:cat>
            <c:numRef>
              <c:f>重包装!$F$5:$F$7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重包装!$G$5:$G$7</c:f>
              <c:numCache>
                <c:formatCode>General</c:formatCode>
                <c:ptCount val="3"/>
                <c:pt idx="0">
                  <c:v>3000</c:v>
                </c:pt>
                <c:pt idx="1">
                  <c:v>3661</c:v>
                </c:pt>
                <c:pt idx="2">
                  <c:v>4500</c:v>
                </c:pt>
              </c:numCache>
            </c:numRef>
          </c:val>
        </c:ser>
        <c:marker val="1"/>
        <c:axId val="322678784"/>
        <c:axId val="322680320"/>
      </c:lineChart>
      <c:catAx>
        <c:axId val="322678784"/>
        <c:scaling>
          <c:orientation val="minMax"/>
        </c:scaling>
        <c:axPos val="b"/>
        <c:numFmt formatCode="General" sourceLinked="1"/>
        <c:tickLblPos val="nextTo"/>
        <c:crossAx val="322680320"/>
        <c:crosses val="autoZero"/>
        <c:auto val="1"/>
        <c:lblAlgn val="ctr"/>
        <c:lblOffset val="100"/>
      </c:catAx>
      <c:valAx>
        <c:axId val="322680320"/>
        <c:scaling>
          <c:orientation val="minMax"/>
        </c:scaling>
        <c:axPos val="l"/>
        <c:majorGridlines/>
        <c:numFmt formatCode="General" sourceLinked="1"/>
        <c:tickLblPos val="nextTo"/>
        <c:crossAx val="322678784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/>
            </a:pPr>
            <a:r>
              <a:rPr lang="zh-CN" sz="1200"/>
              <a:t>最高产能（箱</a:t>
            </a:r>
            <a:r>
              <a:rPr lang="en-US" sz="1200"/>
              <a:t>/</a:t>
            </a:r>
            <a:r>
              <a:rPr lang="zh-CN" sz="1200"/>
              <a:t>日）</a:t>
            </a:r>
          </a:p>
        </c:rich>
      </c:tx>
      <c:layout>
        <c:manualLayout>
          <c:xMode val="edge"/>
          <c:yMode val="edge"/>
          <c:x val="0.33750582233558957"/>
          <c:y val="6.666666666666668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重包装!$G$4</c:f>
              <c:strCache>
                <c:ptCount val="1"/>
                <c:pt idx="0">
                  <c:v>最高产能</c:v>
                </c:pt>
              </c:strCache>
            </c:strRef>
          </c:tx>
          <c:spPr>
            <a:ln>
              <a:solidFill>
                <a:srgbClr val="CC0000"/>
              </a:solidFill>
            </a:ln>
          </c:spPr>
          <c:marker>
            <c:spPr>
              <a:ln>
                <a:solidFill>
                  <a:srgbClr val="CC0000"/>
                </a:solidFill>
              </a:ln>
            </c:spPr>
          </c:marker>
          <c:dLbls>
            <c:dLbl>
              <c:idx val="0"/>
              <c:layout>
                <c:manualLayout>
                  <c:x val="-5.0291486451517514E-2"/>
                  <c:y val="-0.1030177477815276"/>
                </c:manualLayout>
              </c:layout>
              <c:showVal val="1"/>
            </c:dLbl>
            <c:dLbl>
              <c:idx val="1"/>
              <c:layout>
                <c:manualLayout>
                  <c:x val="-9.2544962169650427E-2"/>
                  <c:y val="-6.6006600660066E-2"/>
                </c:manualLayout>
              </c:layout>
              <c:showVal val="1"/>
            </c:dLbl>
            <c:dLbl>
              <c:idx val="2"/>
              <c:layout>
                <c:manualLayout>
                  <c:x val="-7.8834597403775103E-2"/>
                  <c:y val="-5.9405940594059396E-2"/>
                </c:manualLayout>
              </c:layout>
              <c:showVal val="1"/>
            </c:dLbl>
            <c:showVal val="1"/>
          </c:dLbls>
          <c:cat>
            <c:numRef>
              <c:f>重包装!$F$5:$F$7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重包装!$G$5:$G$7</c:f>
              <c:numCache>
                <c:formatCode>General</c:formatCode>
                <c:ptCount val="3"/>
                <c:pt idx="0">
                  <c:v>3000</c:v>
                </c:pt>
                <c:pt idx="1">
                  <c:v>3661</c:v>
                </c:pt>
                <c:pt idx="2">
                  <c:v>4500</c:v>
                </c:pt>
              </c:numCache>
            </c:numRef>
          </c:val>
        </c:ser>
        <c:marker val="1"/>
        <c:axId val="322530688"/>
        <c:axId val="322552960"/>
      </c:lineChart>
      <c:catAx>
        <c:axId val="322530688"/>
        <c:scaling>
          <c:orientation val="minMax"/>
        </c:scaling>
        <c:axPos val="b"/>
        <c:numFmt formatCode="General" sourceLinked="1"/>
        <c:tickLblPos val="nextTo"/>
        <c:crossAx val="322552960"/>
        <c:crosses val="autoZero"/>
        <c:auto val="1"/>
        <c:lblAlgn val="ctr"/>
        <c:lblOffset val="100"/>
      </c:catAx>
      <c:valAx>
        <c:axId val="322552960"/>
        <c:scaling>
          <c:orientation val="minMax"/>
        </c:scaling>
        <c:axPos val="l"/>
        <c:majorGridlines/>
        <c:numFmt formatCode="General" sourceLinked="1"/>
        <c:tickLblPos val="nextTo"/>
        <c:crossAx val="322530688"/>
        <c:crosses val="autoZero"/>
        <c:crossBetween val="between"/>
      </c:valAx>
    </c:plotArea>
    <c:plotVisOnly val="1"/>
  </c:chart>
  <c:txPr>
    <a:bodyPr/>
    <a:lstStyle/>
    <a:p>
      <a:pPr>
        <a:defRPr sz="1200"/>
      </a:pPr>
      <a:endParaRPr lang="zh-CN"/>
    </a:p>
  </c:txPr>
  <c:externalData r:id="rId1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859D9-A092-4CD0-9021-A64707E0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312</Words>
  <Characters>1782</Characters>
  <Application>Microsoft Office Word</Application>
  <DocSecurity>0</DocSecurity>
  <Lines>14</Lines>
  <Paragraphs>4</Paragraphs>
  <ScaleCrop>false</ScaleCrop>
  <Company/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shaoyu</dc:creator>
  <cp:lastModifiedBy>admin</cp:lastModifiedBy>
  <cp:revision>3</cp:revision>
  <dcterms:created xsi:type="dcterms:W3CDTF">2013-04-07T06:23:00Z</dcterms:created>
  <dcterms:modified xsi:type="dcterms:W3CDTF">2013-04-07T06:24:00Z</dcterms:modified>
</cp:coreProperties>
</file>